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Employee Family Member Participation Measures from the Perspective of Enterprise Transformation</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Tse-Wen Hong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tl w:val="0"/>
        </w:rPr>
        <w:t xml:space="preserve">Su-Houn Liu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PhD Program in Business, Chung Yuan Christian University, Taiwan R.O.C.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Professor, Information Management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Chung Yuan Christian University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w:t>
      </w:r>
      <w:r w:rsidDel="00000000" w:rsidR="00000000" w:rsidRPr="00000000">
        <w:rPr>
          <w:rtl w:val="0"/>
        </w:rPr>
        <w:t xml:space="preserve">aiwan R.O.C.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*Corresponding Author:</w:t>
      </w:r>
      <w:r w:rsidDel="00000000" w:rsidR="00000000" w:rsidRPr="00000000">
        <w:rPr>
          <w:i w:val="0"/>
          <w:smallCaps w:val="0"/>
          <w:strike w:val="0"/>
          <w:sz w:val="24"/>
          <w:szCs w:val="24"/>
          <w:u w:val="none"/>
          <w:shd w:fill="auto" w:val="clear"/>
          <w:vertAlign w:val="baseline"/>
          <w:rtl w:val="0"/>
        </w:rPr>
        <w:t xml:space="preserve"> </w:t>
      </w:r>
      <w:r w:rsidDel="00000000" w:rsidR="00000000" w:rsidRPr="00000000">
        <w:rPr>
          <w:rtl w:val="0"/>
        </w:rPr>
        <w:t xml:space="preserve">tsewen.hong@gmail.com</w:t>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Abstract</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Arial" w:cs="Arial" w:eastAsia="Arial" w:hAnsi="Arial"/>
          <w:color w:val="222222"/>
          <w:sz w:val="22"/>
          <w:szCs w:val="22"/>
          <w:highlight w:val="white"/>
        </w:rPr>
      </w:pPr>
      <w:r w:rsidDel="00000000" w:rsidR="00000000" w:rsidRPr="00000000">
        <w:rPr>
          <w:rtl w:val="0"/>
        </w:rPr>
        <w:t xml:space="preserve">Enterprise transformation often brings enormous stress to employees - especially from family members. This can cause resistance and ultimately lead to failure to transform. </w:t>
      </w:r>
      <w:r w:rsidDel="00000000" w:rsidR="00000000" w:rsidRPr="00000000">
        <w:rPr>
          <w:rtl w:val="0"/>
        </w:rPr>
        <w:t xml:space="preserve">Research that family-friendly policies have limited effect in reducing work-family conflict. Instead, proactive work-family culture and support is more helpful in maintaining balance between characters. Enterprise transformation increases work-anxiety and weakens the affect of work-family measures. The case company, a Taiwanese lubricants distributor, was established in 1959. It places strong emphasis on professional knowledge and family-life, and promotes family participation in company events. The case company has created various family-oriented activities including sports day, family travel, and camps, to increase the level of interaction between employees and their families. Different activity proposals are designed based on groupings of the average age of the children of employees. Employees are encouraged to participate using paid leave, thereby increasing the usage of paid leave allowances and reducing cost. The case company values employee work-family balance. This emphasis on family participation creates stable teams and increases productivity as a whole. Businesses should monitor and proactively intervene to reduce employee stress and ensure successful enterprise transformation.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ind w:left="1080" w:hanging="1080"/>
        <w:jc w:val="both"/>
        <w:rPr/>
      </w:pPr>
      <w:r w:rsidDel="00000000" w:rsidR="00000000" w:rsidRPr="00000000">
        <w:rPr>
          <w:i w:val="1"/>
          <w:rtl w:val="0"/>
        </w:rPr>
        <w:t xml:space="preserve">Keywords:</w:t>
      </w:r>
      <w:r w:rsidDel="00000000" w:rsidR="00000000" w:rsidRPr="00000000">
        <w:rPr>
          <w:rtl w:val="0"/>
        </w:rPr>
        <w:t xml:space="preserve"> </w:t>
      </w:r>
      <w:r w:rsidDel="00000000" w:rsidR="00000000" w:rsidRPr="00000000">
        <w:rPr>
          <w:rtl w:val="0"/>
        </w:rPr>
        <w:t xml:space="preserve">Family member participation, Work-Family Border/Boundary Theory, enterprise transformation, case study</w:t>
      </w:r>
      <w:r w:rsidDel="00000000" w:rsidR="00000000" w:rsidRPr="00000000">
        <w:rPr>
          <w:rtl w:val="0"/>
        </w:rPr>
      </w:r>
    </w:p>
    <w:p w:rsidR="00000000" w:rsidDel="00000000" w:rsidP="00000000" w:rsidRDefault="00000000" w:rsidRPr="00000000" w14:paraId="0000000B">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w:t>
      </w:r>
      <w:r w:rsidDel="00000000" w:rsidR="00000000" w:rsidRPr="00000000">
        <w:rPr>
          <w:b w:val="1"/>
          <w:sz w:val="28"/>
          <w:szCs w:val="28"/>
          <w:rtl w:val="0"/>
        </w:rPr>
        <w:t xml:space="preserve">Research Background</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pPr>
      <w:r w:rsidDel="00000000" w:rsidR="00000000" w:rsidRPr="00000000">
        <w:rPr>
          <w:rtl w:val="0"/>
        </w:rPr>
        <w:t xml:space="preserve">Research regarding enterprise transformation often mentions that such upheavals cause significant psychological stress to employees (</w:t>
      </w:r>
      <w:r w:rsidDel="00000000" w:rsidR="00000000" w:rsidRPr="00000000">
        <w:rPr>
          <w:rtl w:val="0"/>
        </w:rPr>
        <w:t xml:space="preserve">Fu Chuanfeng</w:t>
      </w:r>
      <w:r w:rsidDel="00000000" w:rsidR="00000000" w:rsidRPr="00000000">
        <w:rPr>
          <w:rtl w:val="0"/>
        </w:rPr>
        <w:t xml:space="preserve">, 2018). In response, employees may resist through behaviors such as slacking or resigning, which contribute significantly to the failure of the attempted transformation. Work-related stress is one of the most important health problems in the modern age, and a prominent psychological issue in enterprise human resource management. According to existing research, employee stress may originate from the business itself, as well as society, family, work, or personal character etc. Yet regardless of its source, overly high levels of employee stress cause significant negative consequences for an organization.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pPr>
      <w:r w:rsidDel="00000000" w:rsidR="00000000" w:rsidRPr="00000000">
        <w:rPr>
          <w:rtl w:val="0"/>
        </w:rPr>
        <w:t xml:space="preserve">Further research into the source of stress reveals that a certain percentage comes from the destruction of stable work/family balance. The stress may even originate from social pressure exerted by members of the employee’s own family (including spouse, children, extended family and friends etc.) During enterprise transformation, such as when transitioning to remote work, employees may find it impossible to achieve consensus with family members while redefining the boundaries of work and family domains. This lack of consensus can cause clashes between work and family, and ultimately result in resistant behavior under pressure (Netemeyer, Boles, &amp; McMurrian, 1996).</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pPr>
      <w:r w:rsidDel="00000000" w:rsidR="00000000" w:rsidRPr="00000000">
        <w:rPr>
          <w:rtl w:val="0"/>
        </w:rPr>
        <w:t xml:space="preserve">Due to these reasons, promoting work-family balance for employees has long been an important issue in human resource management. Much literature also explores, from different theoretical frameworks, how best to assist employees in maintaining physical and mental health, as well as manage work and family life, through various different measures, including working condition and welfare related policies, with the aim of reducing the mutual interference caused by work and family (Grover, &amp; Crooker, 1995).</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pPr>
      <w:r w:rsidDel="00000000" w:rsidR="00000000" w:rsidRPr="00000000">
        <w:rPr>
          <w:rtl w:val="0"/>
        </w:rPr>
        <w:t xml:space="preserve">However, our research has found that these human resource oriented discussions basically ignore an important group of stakeholders in this scenario, i.e. the family members themselves. After all, they are often the ones who exert pressure upon employees during enterprise transformation (Greenhaus, &amp; Beutell, 1985). As family members are an important source of stress, work/family balance measures could be better designed to create more direct communication and connection between business and the families of its employees. Through mutual understanding and social connections, the stresses faced by employees may be more effectively reduced, and a balance between work and family maintained.</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This study explores a typical small-medium sized Taiwanese business, and its attempts to connect with employees’ families through specific measures. By maintaining a healthy and friendly channel of communication between the organization and the family of its employees, the company ensures that employees can concentrate on work during various transitional processes, and prevent potential resistance, including mass resignation</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Literature Revi</w:t>
      </w:r>
      <w:r w:rsidDel="00000000" w:rsidR="00000000" w:rsidRPr="00000000">
        <w:rPr>
          <w:b w:val="1"/>
          <w:sz w:val="28"/>
          <w:szCs w:val="28"/>
          <w:rtl w:val="0"/>
        </w:rPr>
        <w:t xml:space="preserve">ew: Employee Family Participation Measures and Enterprise Transformation</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pPr>
      <w:r w:rsidDel="00000000" w:rsidR="00000000" w:rsidRPr="00000000">
        <w:rPr>
          <w:rtl w:val="0"/>
        </w:rPr>
        <w:t xml:space="preserve">Relatively little is known about the effectiveness of family-friendly policies in reducing conflict between work and family interests (Premeaux, Adkins, &amp; Mossholder, 2007). After surveying 564 employees, Premeaux, Adkins, &amp; Mossholder discovered that  family-friendly policies had little impact on felt-conflict. However, proactive work-family culture and family support could help employees achieve balance between work and family roles. Konrad and Mangel (2000) examined the adoption of work-life programs and its impacts upon company productivity, and found that the percentage of professionals and female employees related positively to the impact of work-life programs upon productivity. Chiu Ya-Ping and Lai Su-hui (2017) took full-time employees in Taiwan’s tech sector as their subjects, and found that although work-family measures can reduce conflicts, when work-related anxieties rise (such as during enterprise transformation), the effects of said measures were weakened.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pPr>
      <w:r w:rsidDel="00000000" w:rsidR="00000000" w:rsidRPr="00000000">
        <w:rPr>
          <w:rtl w:val="0"/>
        </w:rPr>
        <w:t xml:space="preserve">When exploring work-family conflicts, the theory most often used is work and family border/boundary theory. This type of theory examines the interaction between employees and work, as well as employees and family, in terms of the configuration of domains and boundaries, in order to analyze the deeper reasons for work-family conflict, and propose strategies to further work-family balance (Li Yuan, 2013).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pPr>
      <w:r w:rsidDel="00000000" w:rsidR="00000000" w:rsidRPr="00000000">
        <w:rPr>
          <w:rtl w:val="0"/>
        </w:rPr>
        <w:t xml:space="preserve">Segmentation and integration are the two major strategies used to manage work and family domains (Andrews, &amp; Bailyn, 1993). Each of the strategies have their strengths and weaknesses. Division reduces the difficulty in creating, maintaining, and managing domain boundaries, allowing for clearer role-switching requirements and reducing the confusion experienced by individuals. However, this separation often artificially amplifies the differences between fields, thereby increasing the role transition span, making it more difficult to cross role boundaries.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pPr>
      <w:r w:rsidDel="00000000" w:rsidR="00000000" w:rsidRPr="00000000">
        <w:rPr>
          <w:rtl w:val="0"/>
        </w:rPr>
        <w:t xml:space="preserve">On the other hand, integration strategies more commonly seen in eastern businesses simplifies the process of role boundary crossing by minimizing the role transition span. Its greatest weakness is that individuals may face the demands of many roles (for instance, seeking for a second-generation business successor within the family). This creates conflicts of priorities, attention allocation, and time, and increases the anxiety and perplexities felt by the individual due to confusion between roles.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pPr>
      <w:r w:rsidDel="00000000" w:rsidR="00000000" w:rsidRPr="00000000">
        <w:rPr>
          <w:rtl w:val="0"/>
        </w:rPr>
        <w:t xml:space="preserve">In a stable environment, employees are able to cope with such pressures. However, in the face of change, for instance, during enterprise transformation, stress levels can elevate rapidly and cause major threats to transformation. For instance, during the pandemic, many businesses began to promote remote work. This proposal should have been welcomed by employees. However, research shows that in many instances remote working created environments characterized by borderlessness, causing work and family domains to significant overlap (Yen Ming  &amp; Cheng Shih, 2024). This change substantially altered the previous research and practice premise that work and family can be effectively distinguished. As a consequence, conflict between work and family increased for employees, which lead to elevated stress.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pPr>
      <w:r w:rsidDel="00000000" w:rsidR="00000000" w:rsidRPr="00000000">
        <w:rPr>
          <w:rtl w:val="0"/>
        </w:rPr>
        <w:t xml:space="preserve">To sum up, when faced with change and adjustment, whether intentionally promoted by the business, or unintentionally occuring due to alterations in environment or within an employee’s own family, the resulting pressure on employees can affect performance, or lead to resistance which in turn affects the operations of the organization.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pPr>
      <w:r w:rsidDel="00000000" w:rsidR="00000000" w:rsidRPr="00000000">
        <w:rPr>
          <w:rtl w:val="0"/>
        </w:rPr>
        <w:t xml:space="preserve">Therefore, management and HR must be alert to these changes, and proactively adjust relevant measures concerning work-family balance to help employees adapt to new organizational scenarios. This would then ensure the loyalty and stability of employees, and increase productivity for the organization as a whole</w:t>
      </w:r>
      <w:r w:rsidDel="00000000" w:rsidR="00000000" w:rsidRPr="00000000">
        <w:rPr>
          <w:rtl w:val="0"/>
        </w:rPr>
        <w:t xml:space="preserv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50"/>
        <w:jc w:val="both"/>
        <w:rPr/>
      </w:pPr>
      <w:r w:rsidDel="00000000" w:rsidR="00000000" w:rsidRPr="00000000">
        <w:rPr>
          <w:rtl w:val="0"/>
        </w:rPr>
      </w:r>
    </w:p>
    <w:p w:rsidR="00000000" w:rsidDel="00000000" w:rsidP="00000000" w:rsidRDefault="00000000" w:rsidRPr="00000000" w14:paraId="0000001B">
      <w:pPr>
        <w:keepNext w:val="1"/>
        <w:jc w:val="center"/>
        <w:rPr/>
      </w:pPr>
      <w:r w:rsidDel="00000000" w:rsidR="00000000" w:rsidRPr="00000000">
        <w:rPr>
          <w:b w:val="1"/>
          <w:sz w:val="28"/>
          <w:szCs w:val="28"/>
          <w:rtl w:val="0"/>
        </w:rPr>
        <w:t xml:space="preserve">3. Case Company Profile</w:t>
      </w:r>
      <w:r w:rsidDel="00000000" w:rsidR="00000000" w:rsidRPr="00000000">
        <w:rPr>
          <w:rtl w:val="0"/>
        </w:rPr>
      </w:r>
    </w:p>
    <w:p w:rsidR="00000000" w:rsidDel="00000000" w:rsidP="00000000" w:rsidRDefault="00000000" w:rsidRPr="00000000" w14:paraId="0000001C">
      <w:pPr>
        <w:widowControl w:val="1"/>
        <w:ind w:firstLine="480"/>
        <w:jc w:val="both"/>
        <w:rPr/>
      </w:pPr>
      <w:r w:rsidDel="00000000" w:rsidR="00000000" w:rsidRPr="00000000">
        <w:rPr>
          <w:rtl w:val="0"/>
        </w:rPr>
        <w:t xml:space="preserve">Therefore, management and HR must be alert to these changes, and proactively adjust relevant measures concerning work-family balance to help employees adapt to new organizational scenarios. This would then ensure the loyalty and stability of employees, and increase productivity for the organization as a whole.</w:t>
      </w:r>
    </w:p>
    <w:p w:rsidR="00000000" w:rsidDel="00000000" w:rsidP="00000000" w:rsidRDefault="00000000" w:rsidRPr="00000000" w14:paraId="0000001D">
      <w:pPr>
        <w:widowControl w:val="1"/>
        <w:ind w:firstLine="480"/>
        <w:jc w:val="both"/>
        <w:rPr/>
      </w:pPr>
      <w:r w:rsidDel="00000000" w:rsidR="00000000" w:rsidRPr="00000000">
        <w:rPr>
          <w:rtl w:val="0"/>
        </w:rPr>
        <w:t xml:space="preserve">Founded in 1959, the case company (Company A) could be considered an “old” business in the Taiwanese setting. Since its founding, Company A has focused on distributing lubricants for ExxonMobil, particularly the Mobil Oil brand. Through six and a half decades of Taiwanese industrial progress, rising demands for machine lubrication has lead to the company’s steady growth. Currently, Company A provides lubricants for industrial and automotive applications, the packaging of oil-related products, as well as professional logistical services. </w:t>
      </w:r>
    </w:p>
    <w:p w:rsidR="00000000" w:rsidDel="00000000" w:rsidP="00000000" w:rsidRDefault="00000000" w:rsidRPr="00000000" w14:paraId="0000001E">
      <w:pPr>
        <w:widowControl w:val="1"/>
        <w:ind w:firstLine="480"/>
        <w:jc w:val="both"/>
        <w:rPr/>
      </w:pPr>
      <w:r w:rsidDel="00000000" w:rsidR="00000000" w:rsidRPr="00000000">
        <w:rPr>
          <w:rtl w:val="0"/>
        </w:rPr>
        <w:t xml:space="preserve">The current company headquarters are located in Linkou District, New Taipei City, which includes sales and warehousing departments. There are also sales and warehousing locations at the Taichung Harbour Related Industrial Park, and the Kaohsiung Dafa Industrial Park. In 2022, a dangerous goods warehouse which meets the highest ESG standards was built in the Changhua Binhai Industrial Zone. Alongside strategically placed warehouse locations, Company A has its own fleet of trucks which supply customers all over Taiwan. More uniquely, Company A has invested heavily in digitalized management systems, and all office/warehouse locations are linked via high-speed networks. With its integrated data network, Company A continually embraces transformative technological and business innovations. It has received many accolades from ExxonMobil and other business partners, and is widely acknowledged as a benchmark organization in its field. </w:t>
      </w:r>
    </w:p>
    <w:p w:rsidR="00000000" w:rsidDel="00000000" w:rsidP="00000000" w:rsidRDefault="00000000" w:rsidRPr="00000000" w14:paraId="0000001F">
      <w:pPr>
        <w:widowControl w:val="1"/>
        <w:ind w:firstLine="480"/>
        <w:jc w:val="both"/>
        <w:rPr/>
      </w:pPr>
      <w:r w:rsidDel="00000000" w:rsidR="00000000" w:rsidRPr="00000000">
        <w:rPr>
          <w:rtl w:val="0"/>
        </w:rPr>
        <w:t xml:space="preserve">Furthermore, Company A is an industry leader in tribology (the study of lubrication). As such, employees (particularly sales representatives) receive on-going professional training in order to provide informed customer service. The company also includes a publishing department, which produces Taiwan’s only lubrication-related journal, and has compiled various authoritative technical guides.</w:t>
      </w:r>
    </w:p>
    <w:p w:rsidR="00000000" w:rsidDel="00000000" w:rsidP="00000000" w:rsidRDefault="00000000" w:rsidRPr="00000000" w14:paraId="00000020">
      <w:pPr>
        <w:keepNext w:val="1"/>
        <w:jc w:val="left"/>
        <w:rPr>
          <w:b w:val="1"/>
          <w:sz w:val="28"/>
          <w:szCs w:val="28"/>
        </w:rPr>
      </w:pPr>
      <w:r w:rsidDel="00000000" w:rsidR="00000000" w:rsidRPr="00000000">
        <w:rPr>
          <w:rtl w:val="0"/>
        </w:rPr>
      </w:r>
    </w:p>
    <w:p w:rsidR="00000000" w:rsidDel="00000000" w:rsidP="00000000" w:rsidRDefault="00000000" w:rsidRPr="00000000" w14:paraId="00000021">
      <w:pPr>
        <w:keepNext w:val="1"/>
        <w:jc w:val="center"/>
        <w:rPr/>
      </w:pPr>
      <w:r w:rsidDel="00000000" w:rsidR="00000000" w:rsidRPr="00000000">
        <w:rPr>
          <w:b w:val="1"/>
          <w:sz w:val="28"/>
          <w:szCs w:val="28"/>
          <w:rtl w:val="0"/>
        </w:rPr>
        <w:t xml:space="preserve">4. Case Company Family Participation</w:t>
      </w:r>
      <w:r w:rsidDel="00000000" w:rsidR="00000000" w:rsidRPr="00000000">
        <w:rPr>
          <w:rtl w:val="0"/>
        </w:rPr>
      </w:r>
    </w:p>
    <w:p w:rsidR="00000000" w:rsidDel="00000000" w:rsidP="00000000" w:rsidRDefault="00000000" w:rsidRPr="00000000" w14:paraId="00000022">
      <w:pPr>
        <w:widowControl w:val="1"/>
        <w:ind w:firstLine="480"/>
        <w:jc w:val="both"/>
        <w:rPr/>
      </w:pPr>
      <w:r w:rsidDel="00000000" w:rsidR="00000000" w:rsidRPr="00000000">
        <w:rPr>
          <w:rtl w:val="0"/>
        </w:rPr>
        <w:t xml:space="preserve">John D. Rockefeller once surmised that those who see work as pleasure work in heaven, but those who see work as duty work in hell. This observation is a testament to the importance of a good working environment. Company A was found in 1959, at a time when small-medium sized businesses did not necessarily enjoy any holidays at all. Yet Company A employees were familiar with Mobil Oil employee benefits, including paid leave and two-day weekends. At the time, when necessary, employees had to negotiate “incidental leave” with employers, with no guarantee of compensation. In other words, the relationship between employer and employee was almost purely transactional. </w:t>
      </w:r>
    </w:p>
    <w:p w:rsidR="00000000" w:rsidDel="00000000" w:rsidP="00000000" w:rsidRDefault="00000000" w:rsidRPr="00000000" w14:paraId="00000023">
      <w:pPr>
        <w:widowControl w:val="1"/>
        <w:ind w:firstLine="480"/>
        <w:jc w:val="both"/>
        <w:rPr/>
      </w:pPr>
      <w:r w:rsidDel="00000000" w:rsidR="00000000" w:rsidRPr="00000000">
        <w:rPr>
          <w:rtl w:val="0"/>
        </w:rPr>
        <w:t xml:space="preserve">In 1974, the Taiwanese government began its decade long economic development plan, with increased investment in key industries including: manufacturing, electronics, transportation etc. The subsequent economic boom cemented Taiwan’s position as one of four “Asian Tigers”. In the 1980s, a second generation entered Company A, and the company expanded rapidly in size. While demand for lubricants grew rapidly with industrial and economic expansion, tribology remained an elusive field situated between the chemical and the mechanical. Without dedicated paths toward lubrication related knowledge, firms like Company A had to invest heavily in training, and the accumulation of experienced staff.</w:t>
      </w:r>
    </w:p>
    <w:p w:rsidR="00000000" w:rsidDel="00000000" w:rsidP="00000000" w:rsidRDefault="00000000" w:rsidRPr="00000000" w14:paraId="00000024">
      <w:pPr>
        <w:widowControl w:val="1"/>
        <w:ind w:firstLine="480"/>
        <w:jc w:val="both"/>
        <w:rPr/>
      </w:pPr>
      <w:r w:rsidDel="00000000" w:rsidR="00000000" w:rsidRPr="00000000">
        <w:rPr>
          <w:rtl w:val="0"/>
        </w:rPr>
        <w:t xml:space="preserve">Economic prosperity also brought competition for labor, and turnover rates were high. From the example of US-based Mobil Oil, Company A learned that retaining employees was the only way to accumulate know-how. In addition to offering competitive wages, the company focused on how to, among its staff, increase a sense of identification with the company and with colleagues.  </w:t>
      </w:r>
    </w:p>
    <w:p w:rsidR="00000000" w:rsidDel="00000000" w:rsidP="00000000" w:rsidRDefault="00000000" w:rsidRPr="00000000" w14:paraId="00000025">
      <w:pPr>
        <w:widowControl w:val="1"/>
        <w:ind w:firstLine="480"/>
        <w:jc w:val="both"/>
        <w:rPr/>
      </w:pPr>
      <w:r w:rsidDel="00000000" w:rsidR="00000000" w:rsidRPr="00000000">
        <w:rPr>
          <w:rtl w:val="0"/>
        </w:rPr>
        <w:t xml:space="preserve">Therefore, ahead of governmental regulation relating to two-day weekends, Company A offered an additional half-day weekend leave, and 7 days of paid leave to all staff in the first year of their employment. Significant efforts were made to promote work/life balance and the right of employees to enjoy their leisure time. </w:t>
      </w:r>
    </w:p>
    <w:p w:rsidR="00000000" w:rsidDel="00000000" w:rsidP="00000000" w:rsidRDefault="00000000" w:rsidRPr="00000000" w14:paraId="00000026">
      <w:pPr>
        <w:widowControl w:val="1"/>
        <w:ind w:firstLine="480"/>
        <w:jc w:val="both"/>
        <w:rPr/>
      </w:pPr>
      <w:r w:rsidDel="00000000" w:rsidR="00000000" w:rsidRPr="00000000">
        <w:rPr>
          <w:rtl w:val="0"/>
        </w:rPr>
        <w:t xml:space="preserve">The 1980s was a period of rapid growth. At the time, staff were relatively young, as most were new graduates or recently released from compulsory military service. The average age was about 30, and Company A often organized social events which focused on youthful activities such as sports and camping. Several pairs of colleagues became married  to each other and remained on staff afterwards.  </w:t>
      </w:r>
    </w:p>
    <w:p w:rsidR="00000000" w:rsidDel="00000000" w:rsidP="00000000" w:rsidRDefault="00000000" w:rsidRPr="00000000" w14:paraId="00000027">
      <w:pPr>
        <w:widowControl w:val="1"/>
        <w:ind w:firstLine="480"/>
        <w:jc w:val="both"/>
        <w:rPr/>
      </w:pPr>
      <w:r w:rsidDel="00000000" w:rsidR="00000000" w:rsidRPr="00000000">
        <w:rPr>
          <w:rtl w:val="0"/>
        </w:rPr>
        <w:t xml:space="preserve">In the 1990s, as staff began to have children, the company’s social events gradually turned its focus to family-friendly activities, including the establishing of its Children’s Scholarship and the associated award ceremony at each annual banquet. After 2000, as various local branches were established, colleagues shared many phone calls but few in-person meetings. A Family Sports Day was therefore added to the annual banquet. This event, encompassing a day of family-friendly games and dinner banquet, followed by the scholarship awards, became the highlight of the company social calendar, and brought together the entire staff once a year.</w:t>
      </w:r>
    </w:p>
    <w:p w:rsidR="00000000" w:rsidDel="00000000" w:rsidP="00000000" w:rsidRDefault="00000000" w:rsidRPr="00000000" w14:paraId="00000028">
      <w:pPr>
        <w:widowControl w:val="1"/>
        <w:ind w:firstLine="480"/>
        <w:jc w:val="both"/>
        <w:rPr/>
      </w:pPr>
      <w:r w:rsidDel="00000000" w:rsidR="00000000" w:rsidRPr="00000000">
        <w:rPr>
          <w:rtl w:val="0"/>
        </w:rPr>
        <w:t xml:space="preserve">In 2020, the three-year long covid-19 pandemic brought an unexpected halt to these traditions. For three subsequent years, staff worked from home. Or, occasionally, by repurposing empty conference rooms as remote-learning classrooms, they brought their children to the office.</w:t>
      </w:r>
    </w:p>
    <w:p w:rsidR="00000000" w:rsidDel="00000000" w:rsidP="00000000" w:rsidRDefault="00000000" w:rsidRPr="00000000" w14:paraId="00000029">
      <w:pPr>
        <w:widowControl w:val="1"/>
        <w:ind w:firstLine="480"/>
        <w:jc w:val="both"/>
        <w:rPr/>
      </w:pPr>
      <w:r w:rsidDel="00000000" w:rsidR="00000000" w:rsidRPr="00000000">
        <w:rPr>
          <w:rtl w:val="0"/>
        </w:rPr>
        <w:t xml:space="preserve">Post-pandemic, the general manager of Company A, who has long placed much emphasis on family-participation, considered asking HR to resume these traditional events. Yet, surprisingly, the staff responded to the suggestion with indifference, much contrary to the original enthusiasm with which these activities were met when they were first instituted. Furthermore, when examining the rate of paid leave usage, it was discovered that staff have been making less use of paid leave since before the pandemic began, and the rate continues to decline. While a decline in staff taking paid leave during the pandemic is reasonable, the lack of  reversal in this downward trend, and even the absence of any “revenge holidays” after the lifting of covid restriction, constituted a warning sign of work-family imbalance. </w:t>
      </w:r>
    </w:p>
    <w:p w:rsidR="00000000" w:rsidDel="00000000" w:rsidP="00000000" w:rsidRDefault="00000000" w:rsidRPr="00000000" w14:paraId="0000002A">
      <w:pPr>
        <w:widowControl w:val="1"/>
        <w:ind w:firstLine="480"/>
        <w:jc w:val="both"/>
        <w:rPr/>
      </w:pPr>
      <w:r w:rsidDel="00000000" w:rsidR="00000000" w:rsidRPr="00000000">
        <w:rPr>
          <w:rtl w:val="0"/>
        </w:rPr>
        <w:t xml:space="preserve">On the surface, the reduction in paid leave usage seems simple. Firstly, due to heavy workload and limited workforce, employees may be unable to take full advantage of paid leave. Secondly, the revision of the Labor Standards Act in 2016 stipulates that any unused paid leave accrues an additional 100% compensation. As a result, the wage for each unused paid leave day is doubled. This may have become a disincentive for colleagues to use paid leave, and a subsequent reduction in family-time. </w:t>
      </w:r>
    </w:p>
    <w:p w:rsidR="00000000" w:rsidDel="00000000" w:rsidP="00000000" w:rsidRDefault="00000000" w:rsidRPr="00000000" w14:paraId="0000002B">
      <w:pPr>
        <w:widowControl w:val="1"/>
        <w:ind w:firstLine="480"/>
        <w:jc w:val="both"/>
        <w:rPr/>
      </w:pPr>
      <w:r w:rsidDel="00000000" w:rsidR="00000000" w:rsidRPr="00000000">
        <w:rPr>
          <w:rtl w:val="0"/>
        </w:rPr>
        <w:t xml:space="preserve">To solve this problem, the HR manager conferred with various employees who had not made full use of their paid leave to better understand their situations. Through these interviews, HR discovered some circumstances related to the rate of paid leave usage, and explored potential countermeasures to restore work-family balance.</w:t>
      </w:r>
    </w:p>
    <w:p w:rsidR="00000000" w:rsidDel="00000000" w:rsidP="00000000" w:rsidRDefault="00000000" w:rsidRPr="00000000" w14:paraId="0000002C">
      <w:pPr>
        <w:widowControl w:val="1"/>
        <w:spacing w:line="276" w:lineRule="auto"/>
        <w:ind w:left="0" w:firstLine="0"/>
        <w:rPr/>
      </w:pPr>
      <w:r w:rsidDel="00000000" w:rsidR="00000000" w:rsidRPr="00000000">
        <w:rPr>
          <w:rtl w:val="0"/>
        </w:rPr>
      </w:r>
    </w:p>
    <w:p w:rsidR="00000000" w:rsidDel="00000000" w:rsidP="00000000" w:rsidRDefault="00000000" w:rsidRPr="00000000" w14:paraId="0000002D">
      <w:pPr>
        <w:keepNext w:val="1"/>
        <w:jc w:val="center"/>
        <w:rPr/>
      </w:pPr>
      <w:r w:rsidDel="00000000" w:rsidR="00000000" w:rsidRPr="00000000">
        <w:rPr>
          <w:b w:val="1"/>
          <w:sz w:val="28"/>
          <w:szCs w:val="28"/>
          <w:rtl w:val="0"/>
        </w:rPr>
        <w:t xml:space="preserve">5. Case Company: Proposed Solutions</w:t>
      </w:r>
      <w:r w:rsidDel="00000000" w:rsidR="00000000" w:rsidRPr="00000000">
        <w:rPr>
          <w:rtl w:val="0"/>
        </w:rPr>
      </w:r>
    </w:p>
    <w:p w:rsidR="00000000" w:rsidDel="00000000" w:rsidP="00000000" w:rsidRDefault="00000000" w:rsidRPr="00000000" w14:paraId="0000002E">
      <w:pPr>
        <w:widowControl w:val="1"/>
        <w:ind w:firstLine="480"/>
        <w:jc w:val="both"/>
        <w:rPr/>
      </w:pPr>
      <w:r w:rsidDel="00000000" w:rsidR="00000000" w:rsidRPr="00000000">
        <w:rPr>
          <w:rtl w:val="0"/>
        </w:rPr>
        <w:t xml:space="preserve">To solve this problem, the HR manager conferred with various employees who had not made full use of their paid leave to better understand their situations. Through these interviews, HR discovered some circumstances related to the rate of paid leave usage, and explored potential countermeasures to restore work-family balance.</w:t>
      </w:r>
    </w:p>
    <w:p w:rsidR="00000000" w:rsidDel="00000000" w:rsidP="00000000" w:rsidRDefault="00000000" w:rsidRPr="00000000" w14:paraId="0000002F">
      <w:pPr>
        <w:widowControl w:val="1"/>
        <w:ind w:firstLine="480"/>
        <w:jc w:val="both"/>
        <w:rPr/>
      </w:pPr>
      <w:r w:rsidDel="00000000" w:rsidR="00000000" w:rsidRPr="00000000">
        <w:rPr>
          <w:rtl w:val="0"/>
        </w:rPr>
        <w:t xml:space="preserve">Company A discovered that paid leave usage can be divided into two categories:</w:t>
      </w:r>
    </w:p>
    <w:p w:rsidR="00000000" w:rsidDel="00000000" w:rsidP="00000000" w:rsidRDefault="00000000" w:rsidRPr="00000000" w14:paraId="00000030">
      <w:pPr>
        <w:widowControl w:val="1"/>
        <w:ind w:firstLine="480"/>
        <w:jc w:val="both"/>
        <w:rPr/>
      </w:pPr>
      <w:r w:rsidDel="00000000" w:rsidR="00000000" w:rsidRPr="00000000">
        <w:rPr>
          <w:rtl w:val="0"/>
        </w:rPr>
      </w:r>
    </w:p>
    <w:p w:rsidR="00000000" w:rsidDel="00000000" w:rsidP="00000000" w:rsidRDefault="00000000" w:rsidRPr="00000000" w14:paraId="00000031">
      <w:pPr>
        <w:widowControl w:val="1"/>
        <w:numPr>
          <w:ilvl w:val="0"/>
          <w:numId w:val="2"/>
        </w:numPr>
        <w:ind w:left="720" w:hanging="360"/>
        <w:jc w:val="both"/>
        <w:rPr>
          <w:u w:val="none"/>
        </w:rPr>
      </w:pPr>
      <w:r w:rsidDel="00000000" w:rsidR="00000000" w:rsidRPr="00000000">
        <w:rPr>
          <w:rtl w:val="0"/>
        </w:rPr>
        <w:t xml:space="preserve">(Proactive) Planned leave: dates determined in advance, and activities arranged. For instance, holiday travel, accompanying children to exams, attending reunions etc. </w:t>
      </w:r>
    </w:p>
    <w:p w:rsidR="00000000" w:rsidDel="00000000" w:rsidP="00000000" w:rsidRDefault="00000000" w:rsidRPr="00000000" w14:paraId="00000032">
      <w:pPr>
        <w:widowControl w:val="1"/>
        <w:numPr>
          <w:ilvl w:val="0"/>
          <w:numId w:val="2"/>
        </w:numPr>
        <w:ind w:left="720" w:hanging="360"/>
        <w:jc w:val="both"/>
        <w:rPr>
          <w:u w:val="none"/>
        </w:rPr>
      </w:pPr>
      <w:r w:rsidDel="00000000" w:rsidR="00000000" w:rsidRPr="00000000">
        <w:rPr>
          <w:rtl w:val="0"/>
        </w:rPr>
        <w:t xml:space="preserve">(Passive) Unplanned leave: unexpected situations which require immediate attention. For instance, accompanying family to medical appointments, urgent home repairs etc. </w:t>
      </w:r>
    </w:p>
    <w:p w:rsidR="00000000" w:rsidDel="00000000" w:rsidP="00000000" w:rsidRDefault="00000000" w:rsidRPr="00000000" w14:paraId="00000033">
      <w:pPr>
        <w:widowControl w:val="1"/>
        <w:ind w:firstLine="480"/>
        <w:jc w:val="both"/>
        <w:rPr/>
      </w:pPr>
      <w:r w:rsidDel="00000000" w:rsidR="00000000" w:rsidRPr="00000000">
        <w:rPr>
          <w:rtl w:val="0"/>
        </w:rPr>
      </w:r>
    </w:p>
    <w:p w:rsidR="00000000" w:rsidDel="00000000" w:rsidP="00000000" w:rsidRDefault="00000000" w:rsidRPr="00000000" w14:paraId="00000034">
      <w:pPr>
        <w:widowControl w:val="1"/>
        <w:ind w:firstLine="480"/>
        <w:jc w:val="both"/>
        <w:rPr/>
      </w:pPr>
      <w:r w:rsidDel="00000000" w:rsidR="00000000" w:rsidRPr="00000000">
        <w:rPr>
          <w:rtl w:val="0"/>
        </w:rPr>
        <w:t xml:space="preserve">During the interviews, it was also discovered that Type A can be further subdivided into three subcategories:</w:t>
      </w:r>
    </w:p>
    <w:p w:rsidR="00000000" w:rsidDel="00000000" w:rsidP="00000000" w:rsidRDefault="00000000" w:rsidRPr="00000000" w14:paraId="00000035">
      <w:pPr>
        <w:widowControl w:val="1"/>
        <w:ind w:firstLine="480"/>
        <w:jc w:val="both"/>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A1: Personal leisure, such as dating, shopping and other private activities</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A2: Family time, such as gatherings and events with parents and children</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A3: Hobby learning, such as participating in arts courses</w:t>
      </w:r>
    </w:p>
    <w:p w:rsidR="00000000" w:rsidDel="00000000" w:rsidP="00000000" w:rsidRDefault="00000000" w:rsidRPr="00000000" w14:paraId="00000039">
      <w:pPr>
        <w:widowControl w:val="1"/>
        <w:ind w:firstLine="480"/>
        <w:jc w:val="both"/>
        <w:rPr/>
      </w:pPr>
      <w:r w:rsidDel="00000000" w:rsidR="00000000" w:rsidRPr="00000000">
        <w:rPr>
          <w:rtl w:val="0"/>
        </w:rPr>
        <w:t xml:space="preserve">Company A has been in existence for 65 years, and its employees belong to many different age groups with varying holiday priorities. However, the majority of staff share A2 activities in common. These types of events may therefore provide a point of leverage in incentivizing employees to increase their paid leave usage. </w:t>
      </w:r>
    </w:p>
    <w:p w:rsidR="00000000" w:rsidDel="00000000" w:rsidP="00000000" w:rsidRDefault="00000000" w:rsidRPr="00000000" w14:paraId="0000003A">
      <w:pPr>
        <w:widowControl w:val="1"/>
        <w:ind w:firstLine="480"/>
        <w:jc w:val="both"/>
        <w:rPr/>
      </w:pPr>
      <w:r w:rsidDel="00000000" w:rsidR="00000000" w:rsidRPr="00000000">
        <w:rPr>
          <w:rtl w:val="0"/>
        </w:rPr>
        <w:t xml:space="preserve">Based on the above analysis, HR suggested the following: </w:t>
      </w:r>
    </w:p>
    <w:p w:rsidR="00000000" w:rsidDel="00000000" w:rsidP="00000000" w:rsidRDefault="00000000" w:rsidRPr="00000000" w14:paraId="0000003B">
      <w:pPr>
        <w:widowControl w:val="1"/>
        <w:ind w:firstLine="480"/>
        <w:jc w:val="both"/>
        <w:rPr/>
      </w:pPr>
      <w:r w:rsidDel="00000000" w:rsidR="00000000" w:rsidRPr="00000000">
        <w:rPr>
          <w:rtl w:val="0"/>
        </w:rPr>
      </w:r>
    </w:p>
    <w:p w:rsidR="00000000" w:rsidDel="00000000" w:rsidP="00000000" w:rsidRDefault="00000000" w:rsidRPr="00000000" w14:paraId="0000003C">
      <w:pPr>
        <w:widowControl w:val="1"/>
        <w:ind w:left="0" w:firstLine="0"/>
        <w:jc w:val="both"/>
        <w:rPr/>
      </w:pPr>
      <w:r w:rsidDel="00000000" w:rsidR="00000000" w:rsidRPr="00000000">
        <w:rPr>
          <w:b w:val="1"/>
          <w:rtl w:val="0"/>
        </w:rPr>
        <w:t xml:space="preserve">5.1 Categorize Paid Leave Types based on Children’s Ages</w:t>
      </w:r>
      <w:r w:rsidDel="00000000" w:rsidR="00000000" w:rsidRPr="00000000">
        <w:rPr>
          <w:rtl w:val="0"/>
        </w:rPr>
      </w:r>
    </w:p>
    <w:p w:rsidR="00000000" w:rsidDel="00000000" w:rsidP="00000000" w:rsidRDefault="00000000" w:rsidRPr="00000000" w14:paraId="0000003D">
      <w:pPr>
        <w:widowControl w:val="1"/>
        <w:ind w:firstLine="480"/>
        <w:jc w:val="both"/>
        <w:rPr/>
      </w:pPr>
      <w:r w:rsidDel="00000000" w:rsidR="00000000" w:rsidRPr="00000000">
        <w:rPr>
          <w:rtl w:val="0"/>
        </w:rPr>
        <w:t xml:space="preserve">When considering the characteristics of A2 type paid leave, the average age of employees’ children is a determining factor. Based on this principle, a classification is as follows:</w:t>
      </w:r>
    </w:p>
    <w:p w:rsidR="00000000" w:rsidDel="00000000" w:rsidP="00000000" w:rsidRDefault="00000000" w:rsidRPr="00000000" w14:paraId="0000003E">
      <w:pPr>
        <w:widowControl w:val="1"/>
        <w:ind w:firstLine="480"/>
        <w:jc w:val="both"/>
        <w:rPr/>
      </w:pPr>
      <w:r w:rsidDel="00000000" w:rsidR="00000000" w:rsidRPr="00000000">
        <w:rPr>
          <w:rtl w:val="0"/>
        </w:rPr>
        <w:t xml:space="preserve"> </w:t>
      </w:r>
    </w:p>
    <w:p w:rsidR="00000000" w:rsidDel="00000000" w:rsidP="00000000" w:rsidRDefault="00000000" w:rsidRPr="00000000" w14:paraId="0000003F">
      <w:pPr>
        <w:widowControl w:val="1"/>
        <w:numPr>
          <w:ilvl w:val="0"/>
          <w:numId w:val="5"/>
        </w:numPr>
        <w:ind w:left="720" w:hanging="360"/>
        <w:jc w:val="both"/>
        <w:rPr>
          <w:u w:val="none"/>
        </w:rPr>
      </w:pPr>
      <w:r w:rsidDel="00000000" w:rsidR="00000000" w:rsidRPr="00000000">
        <w:rPr>
          <w:rtl w:val="0"/>
        </w:rPr>
        <w:t xml:space="preserve">A2-1 (1-15 years): restricted by school schedule; summer and winter holiday activities should be prioritized.</w:t>
      </w:r>
    </w:p>
    <w:p w:rsidR="00000000" w:rsidDel="00000000" w:rsidP="00000000" w:rsidRDefault="00000000" w:rsidRPr="00000000" w14:paraId="00000040">
      <w:pPr>
        <w:widowControl w:val="1"/>
        <w:numPr>
          <w:ilvl w:val="0"/>
          <w:numId w:val="5"/>
        </w:numPr>
        <w:ind w:left="720" w:hanging="360"/>
        <w:jc w:val="both"/>
        <w:rPr>
          <w:u w:val="none"/>
        </w:rPr>
      </w:pPr>
      <w:r w:rsidDel="00000000" w:rsidR="00000000" w:rsidRPr="00000000">
        <w:rPr>
          <w:rtl w:val="0"/>
        </w:rPr>
        <w:t xml:space="preserve">A2-2 (16-25 years): children may have part-time work/internship needs; employees may have time for individual holidays.</w:t>
      </w:r>
    </w:p>
    <w:p w:rsidR="00000000" w:rsidDel="00000000" w:rsidP="00000000" w:rsidRDefault="00000000" w:rsidRPr="00000000" w14:paraId="00000041">
      <w:pPr>
        <w:widowControl w:val="1"/>
        <w:numPr>
          <w:ilvl w:val="0"/>
          <w:numId w:val="5"/>
        </w:numPr>
        <w:ind w:left="720" w:hanging="360"/>
        <w:jc w:val="both"/>
        <w:rPr>
          <w:u w:val="none"/>
        </w:rPr>
      </w:pPr>
      <w:r w:rsidDel="00000000" w:rsidR="00000000" w:rsidRPr="00000000">
        <w:rPr>
          <w:rtl w:val="0"/>
        </w:rPr>
        <w:t xml:space="preserve">A2-3 (over 25 years): employees may have to care for elders; couples may have opportunities for holidays together.</w:t>
      </w:r>
    </w:p>
    <w:p w:rsidR="00000000" w:rsidDel="00000000" w:rsidP="00000000" w:rsidRDefault="00000000" w:rsidRPr="00000000" w14:paraId="00000042">
      <w:pPr>
        <w:widowControl w:val="1"/>
        <w:ind w:left="720" w:firstLine="0"/>
        <w:jc w:val="both"/>
        <w:rPr/>
      </w:pPr>
      <w:r w:rsidDel="00000000" w:rsidR="00000000" w:rsidRPr="00000000">
        <w:rPr>
          <w:rtl w:val="0"/>
        </w:rPr>
      </w:r>
    </w:p>
    <w:p w:rsidR="00000000" w:rsidDel="00000000" w:rsidP="00000000" w:rsidRDefault="00000000" w:rsidRPr="00000000" w14:paraId="00000043">
      <w:pPr>
        <w:widowControl w:val="1"/>
        <w:ind w:left="0" w:firstLine="0"/>
        <w:jc w:val="both"/>
        <w:rPr/>
      </w:pPr>
      <w:r w:rsidDel="00000000" w:rsidR="00000000" w:rsidRPr="00000000">
        <w:rPr>
          <w:b w:val="1"/>
          <w:rtl w:val="0"/>
        </w:rPr>
        <w:t xml:space="preserve">5.2 Different Proposals for Each Grouping</w:t>
      </w:r>
      <w:r w:rsidDel="00000000" w:rsidR="00000000" w:rsidRPr="00000000">
        <w:rPr>
          <w:rtl w:val="0"/>
        </w:rPr>
      </w:r>
    </w:p>
    <w:p w:rsidR="00000000" w:rsidDel="00000000" w:rsidP="00000000" w:rsidRDefault="00000000" w:rsidRPr="00000000" w14:paraId="00000044">
      <w:pPr>
        <w:widowControl w:val="1"/>
        <w:ind w:firstLine="480"/>
        <w:jc w:val="both"/>
        <w:rPr/>
      </w:pPr>
      <w:r w:rsidDel="00000000" w:rsidR="00000000" w:rsidRPr="00000000">
        <w:rPr>
          <w:rtl w:val="0"/>
        </w:rPr>
        <w:t xml:space="preserve">Different proposals could be designed to suit the needs of each group. For instance: </w:t>
        <w:br w:type="textWrapping"/>
        <w:br w:type="textWrapping"/>
        <w:t xml:space="preserve">A2-1 Group</w:t>
      </w:r>
    </w:p>
    <w:p w:rsidR="00000000" w:rsidDel="00000000" w:rsidP="00000000" w:rsidRDefault="00000000" w:rsidRPr="00000000" w14:paraId="00000045">
      <w:pPr>
        <w:widowControl w:val="1"/>
        <w:numPr>
          <w:ilvl w:val="0"/>
          <w:numId w:val="3"/>
        </w:numPr>
        <w:ind w:left="720" w:hanging="360"/>
        <w:jc w:val="both"/>
        <w:rPr>
          <w:u w:val="none"/>
        </w:rPr>
      </w:pPr>
      <w:r w:rsidDel="00000000" w:rsidR="00000000" w:rsidRPr="00000000">
        <w:rPr>
          <w:rtl w:val="0"/>
        </w:rPr>
        <w:t xml:space="preserve">Summer/Winter Camps: for instance, a “3D Printing and Robotics Camp” was held for employees’ children during winter school holidays in 2023. In future, camps could be designed to include parental participation.</w:t>
      </w:r>
    </w:p>
    <w:p w:rsidR="00000000" w:rsidDel="00000000" w:rsidP="00000000" w:rsidRDefault="00000000" w:rsidRPr="00000000" w14:paraId="00000046">
      <w:pPr>
        <w:widowControl w:val="1"/>
        <w:numPr>
          <w:ilvl w:val="0"/>
          <w:numId w:val="3"/>
        </w:numPr>
        <w:ind w:left="720" w:hanging="360"/>
        <w:jc w:val="both"/>
        <w:rPr>
          <w:u w:val="none"/>
        </w:rPr>
      </w:pPr>
      <w:r w:rsidDel="00000000" w:rsidR="00000000" w:rsidRPr="00000000">
        <w:rPr>
          <w:rtl w:val="0"/>
        </w:rPr>
        <w:t xml:space="preserve">Family Travel: for instance, Company A could offer family travel packages for employees, including subsidies for accompanying children or parents. Destinations could include famous sights in Taiwan (three to four day tours of North Coast, Central Taiwan, or Southern Peninsula), and pit-stops tours of branch offices.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A2-2 Group</w:t>
      </w:r>
    </w:p>
    <w:p w:rsidR="00000000" w:rsidDel="00000000" w:rsidP="00000000" w:rsidRDefault="00000000" w:rsidRPr="00000000" w14:paraId="0000004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Sponsorships for individual or group travel for employees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450"/>
        <w:jc w:val="left"/>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A2-3 Group </w:t>
      </w:r>
    </w:p>
    <w:p w:rsidR="00000000" w:rsidDel="00000000" w:rsidP="00000000" w:rsidRDefault="00000000" w:rsidRPr="00000000" w14:paraId="000000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Annual travel subsidies or subsidies for family participation </w:t>
      </w:r>
    </w:p>
    <w:p w:rsidR="00000000" w:rsidDel="00000000" w:rsidP="00000000" w:rsidRDefault="00000000" w:rsidRPr="00000000" w14:paraId="000000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Subsidies for short term courses of interest</w:t>
      </w:r>
    </w:p>
    <w:p w:rsidR="00000000" w:rsidDel="00000000" w:rsidP="00000000" w:rsidRDefault="00000000" w:rsidRPr="00000000" w14:paraId="0000004E">
      <w:pPr>
        <w:widowControl w:val="1"/>
        <w:ind w:left="0" w:firstLine="0"/>
        <w:jc w:val="both"/>
        <w:rPr/>
      </w:pPr>
      <w:r w:rsidDel="00000000" w:rsidR="00000000" w:rsidRPr="00000000">
        <w:rPr>
          <w:rtl w:val="0"/>
        </w:rPr>
      </w:r>
    </w:p>
    <w:p w:rsidR="00000000" w:rsidDel="00000000" w:rsidP="00000000" w:rsidRDefault="00000000" w:rsidRPr="00000000" w14:paraId="0000004F">
      <w:pPr>
        <w:widowControl w:val="1"/>
        <w:ind w:firstLine="480"/>
        <w:jc w:val="both"/>
        <w:rPr/>
      </w:pPr>
      <w:r w:rsidDel="00000000" w:rsidR="00000000" w:rsidRPr="00000000">
        <w:rPr>
          <w:rtl w:val="0"/>
        </w:rPr>
        <w:t xml:space="preserve">In order to encourage more usage of paid leave, the above activities should not take place during national holidays. To improve feasibility, multiple different vacation/activity offers should be presented with considerable lead-time, allowing employees to choose the most advantageous way of utilizing their paid leave. Feedback should be encouraged, and satisfaction surveys conducted afterwards to determine how the implementation could be improved.</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b w:val="1"/>
          <w:sz w:val="28"/>
          <w:szCs w:val="28"/>
          <w:rtl w:val="0"/>
        </w:rPr>
        <w:t xml:space="preserve">6. Conclusions</w:t>
      </w:r>
      <w:r w:rsidDel="00000000" w:rsidR="00000000" w:rsidRPr="00000000">
        <w:rPr>
          <w:rtl w:val="0"/>
        </w:rPr>
      </w:r>
    </w:p>
    <w:p w:rsidR="00000000" w:rsidDel="00000000" w:rsidP="00000000" w:rsidRDefault="00000000" w:rsidRPr="00000000" w14:paraId="00000052">
      <w:pPr>
        <w:widowControl w:val="1"/>
        <w:ind w:firstLine="480"/>
        <w:jc w:val="both"/>
        <w:rPr/>
      </w:pPr>
      <w:r w:rsidDel="00000000" w:rsidR="00000000" w:rsidRPr="00000000">
        <w:rPr>
          <w:rtl w:val="0"/>
        </w:rPr>
        <w:t xml:space="preserve">From the adjustment process, it is apparent that Company A has been a benchmark organization due to its ability to self-assess and adapt. More specifically, an in-depth examination of the decline in paid leave usage rate reveals that the most fundamental reason for its success is the importance Company A places upon work-family balance, and the fact that it intervenes proactively. This creates a stable environment for the fostering of professionally trained and experienced staff. When faced with organizational adjustments, these employees are able to receive support instead of censure from their families. </w:t>
      </w:r>
    </w:p>
    <w:p w:rsidR="00000000" w:rsidDel="00000000" w:rsidP="00000000" w:rsidRDefault="00000000" w:rsidRPr="00000000" w14:paraId="00000053">
      <w:pPr>
        <w:widowControl w:val="1"/>
        <w:ind w:firstLine="480"/>
        <w:jc w:val="both"/>
        <w:rPr/>
      </w:pPr>
      <w:r w:rsidDel="00000000" w:rsidR="00000000" w:rsidRPr="00000000">
        <w:rPr>
          <w:rtl w:val="0"/>
        </w:rPr>
        <w:t xml:space="preserve">For Company A, which needs to continuously promote corporate change, such organizational conditions are one of the reasons why it can continue to improve and maintain its leading position amongst industry peers.</w:t>
      </w:r>
    </w:p>
    <w:p w:rsidR="00000000" w:rsidDel="00000000" w:rsidP="00000000" w:rsidRDefault="00000000" w:rsidRPr="00000000" w14:paraId="00000054">
      <w:pPr>
        <w:widowControl w:val="1"/>
        <w:ind w:firstLine="480"/>
        <w:jc w:val="both"/>
        <w:rPr/>
      </w:pPr>
      <w:r w:rsidDel="00000000" w:rsidR="00000000" w:rsidRPr="00000000">
        <w:rPr>
          <w:rtl w:val="0"/>
        </w:rPr>
        <w:t xml:space="preserve">This study believes that in the era of digital transformation, business and HR managers must continually monitor whether employees are maintaining the necessary balance between work and family, and proactively intervene with suitable measures to help reduce their stress. By proactively adapting existing balancing measures, employees can be eased into new organizational structures. Given these conditions, employees are more likely to remain loyal and stable, and business transformations may truly improve productivity.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56">
      <w:pPr>
        <w:keepNext w:val="1"/>
        <w:jc w:val="center"/>
        <w:rPr/>
      </w:pPr>
      <w:r w:rsidDel="00000000" w:rsidR="00000000" w:rsidRPr="00000000">
        <w:rPr>
          <w:b w:val="1"/>
          <w:sz w:val="28"/>
          <w:szCs w:val="28"/>
          <w:rtl w:val="0"/>
        </w:rPr>
        <w:t xml:space="preserve">References</w:t>
      </w:r>
      <w:r w:rsidDel="00000000" w:rsidR="00000000" w:rsidRPr="00000000">
        <w:rPr>
          <w:rtl w:val="0"/>
        </w:rPr>
      </w:r>
    </w:p>
    <w:p w:rsidR="00000000" w:rsidDel="00000000" w:rsidP="00000000" w:rsidRDefault="00000000" w:rsidRPr="00000000" w14:paraId="00000057">
      <w:pPr>
        <w:widowControl w:val="1"/>
        <w:ind w:left="480"/>
        <w:jc w:val="both"/>
        <w:rPr/>
      </w:pPr>
      <w:r w:rsidDel="00000000" w:rsidR="00000000" w:rsidRPr="00000000">
        <w:rPr>
          <w:rtl w:val="0"/>
        </w:rPr>
        <w:t xml:space="preserve">Andrews, A., &amp; Bailyn</w:t>
      </w:r>
      <w:r w:rsidDel="00000000" w:rsidR="00000000" w:rsidRPr="00000000">
        <w:rPr>
          <w:rtl w:val="0"/>
        </w:rPr>
        <w:t xml:space="preserve">, L. (1993). Segmentation and synergy: Two models of linking work and family. In J.C. Hood (Ed.), </w:t>
      </w:r>
      <w:r w:rsidDel="00000000" w:rsidR="00000000" w:rsidRPr="00000000">
        <w:rPr>
          <w:i w:val="1"/>
          <w:rtl w:val="0"/>
        </w:rPr>
        <w:t xml:space="preserve">Men, work, and family</w:t>
      </w:r>
      <w:r w:rsidDel="00000000" w:rsidR="00000000" w:rsidRPr="00000000">
        <w:rPr>
          <w:rtl w:val="0"/>
        </w:rPr>
        <w:t xml:space="preserve">, 262-275. Newbury Park, CA: Sage. </w:t>
      </w:r>
      <w:r w:rsidDel="00000000" w:rsidR="00000000" w:rsidRPr="00000000">
        <w:rPr>
          <w:rtl w:val="0"/>
        </w:rPr>
      </w:r>
    </w:p>
    <w:p w:rsidR="00000000" w:rsidDel="00000000" w:rsidP="00000000" w:rsidRDefault="00000000" w:rsidRPr="00000000" w14:paraId="00000058">
      <w:pPr>
        <w:widowControl w:val="1"/>
        <w:ind w:left="480"/>
        <w:jc w:val="both"/>
        <w:rPr/>
      </w:pPr>
      <w:r w:rsidDel="00000000" w:rsidR="00000000" w:rsidRPr="00000000">
        <w:rPr>
          <w:rtl w:val="0"/>
        </w:rPr>
        <w:t xml:space="preserve">Chiu Ya-Ping and Lai Su-hui (2017). </w:t>
      </w:r>
      <w:r w:rsidDel="00000000" w:rsidR="00000000" w:rsidRPr="00000000">
        <w:rPr>
          <w:rtl w:val="0"/>
        </w:rPr>
        <w:t xml:space="preserve">The Impact of Work-Family Programs on Work-Family Conflict in High-Tech Companies: Job Insecurity and Job Level as Moderators</w:t>
      </w:r>
      <w:r w:rsidDel="00000000" w:rsidR="00000000" w:rsidRPr="00000000">
        <w:rPr>
          <w:rtl w:val="0"/>
        </w:rPr>
        <w:t xml:space="preserve">. </w:t>
      </w:r>
      <w:r w:rsidDel="00000000" w:rsidR="00000000" w:rsidRPr="00000000">
        <w:rPr>
          <w:i w:val="1"/>
          <w:rtl w:val="0"/>
        </w:rPr>
        <w:t xml:space="preserve">Chung Yuan Management Review</w:t>
      </w:r>
      <w:r w:rsidDel="00000000" w:rsidR="00000000" w:rsidRPr="00000000">
        <w:rPr>
          <w:rtl w:val="0"/>
        </w:rPr>
        <w:t xml:space="preserve">, 15(1), 63-89.</w:t>
      </w: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Fu Chuanfeng (2018). </w:t>
      </w:r>
      <w:r w:rsidDel="00000000" w:rsidR="00000000" w:rsidRPr="00000000">
        <w:rPr>
          <w:i w:val="1"/>
          <w:rtl w:val="0"/>
        </w:rPr>
        <w:t xml:space="preserve">Research on employee turnover issues during the transformation period of Guangzhou Branch outlets in China Construction Bank</w:t>
      </w:r>
      <w:r w:rsidDel="00000000" w:rsidR="00000000" w:rsidRPr="00000000">
        <w:rPr>
          <w:rtl w:val="0"/>
        </w:rPr>
        <w:t xml:space="preserve">. Lanzhou University  Master's thesis.</w:t>
      </w:r>
      <w:r w:rsidDel="00000000" w:rsidR="00000000" w:rsidRPr="00000000">
        <w:rPr>
          <w:rtl w:val="0"/>
        </w:rPr>
      </w:r>
    </w:p>
    <w:p w:rsidR="00000000" w:rsidDel="00000000" w:rsidP="00000000" w:rsidRDefault="00000000" w:rsidRPr="00000000" w14:paraId="0000005A">
      <w:pPr>
        <w:widowControl w:val="1"/>
        <w:ind w:left="480"/>
        <w:jc w:val="both"/>
        <w:rPr/>
      </w:pPr>
      <w:r w:rsidDel="00000000" w:rsidR="00000000" w:rsidRPr="00000000">
        <w:rPr>
          <w:rtl w:val="0"/>
        </w:rPr>
        <w:t xml:space="preserve">Greenhaus, J. H., &amp; Beutell, N. J. (1985). Sources of conflict between work and family roles. </w:t>
      </w:r>
      <w:r w:rsidDel="00000000" w:rsidR="00000000" w:rsidRPr="00000000">
        <w:rPr>
          <w:i w:val="1"/>
          <w:rtl w:val="0"/>
        </w:rPr>
        <w:t xml:space="preserve">Academy of management review</w:t>
      </w:r>
      <w:r w:rsidDel="00000000" w:rsidR="00000000" w:rsidRPr="00000000">
        <w:rPr>
          <w:rtl w:val="0"/>
        </w:rPr>
        <w:t xml:space="preserve">, 10(1), 76-88.</w:t>
      </w:r>
    </w:p>
    <w:p w:rsidR="00000000" w:rsidDel="00000000" w:rsidP="00000000" w:rsidRDefault="00000000" w:rsidRPr="00000000" w14:paraId="0000005B">
      <w:pPr>
        <w:widowControl w:val="1"/>
        <w:ind w:left="480"/>
        <w:jc w:val="both"/>
        <w:rPr/>
      </w:pPr>
      <w:r w:rsidDel="00000000" w:rsidR="00000000" w:rsidRPr="00000000">
        <w:rPr>
          <w:rtl w:val="0"/>
        </w:rPr>
        <w:t xml:space="preserve">Grover, S. L., &amp; Crooker, K. J. (1995). Who appreciates family‐responsive human resource policies: The impact of family‐friendly policies on the organizational attachment of parents and non‐parents. </w:t>
      </w:r>
      <w:r w:rsidDel="00000000" w:rsidR="00000000" w:rsidRPr="00000000">
        <w:rPr>
          <w:i w:val="1"/>
          <w:rtl w:val="0"/>
        </w:rPr>
        <w:t xml:space="preserve">Personnel psychology</w:t>
      </w:r>
      <w:r w:rsidDel="00000000" w:rsidR="00000000" w:rsidRPr="00000000">
        <w:rPr>
          <w:rtl w:val="0"/>
        </w:rPr>
        <w:t xml:space="preserve">, 48(2), 271-288.</w:t>
      </w:r>
    </w:p>
    <w:p w:rsidR="00000000" w:rsidDel="00000000" w:rsidP="00000000" w:rsidRDefault="00000000" w:rsidRPr="00000000" w14:paraId="0000005C">
      <w:pPr>
        <w:widowControl w:val="1"/>
        <w:ind w:left="480"/>
        <w:jc w:val="both"/>
        <w:rPr/>
      </w:pPr>
      <w:r w:rsidDel="00000000" w:rsidR="00000000" w:rsidRPr="00000000">
        <w:rPr>
          <w:rtl w:val="0"/>
        </w:rPr>
        <w:t xml:space="preserve">Konrad, A. M., &amp; Mangel, R. (2000). The impact of work‐life programs on firm productivity. </w:t>
      </w:r>
      <w:r w:rsidDel="00000000" w:rsidR="00000000" w:rsidRPr="00000000">
        <w:rPr>
          <w:i w:val="1"/>
          <w:rtl w:val="0"/>
        </w:rPr>
        <w:t xml:space="preserve">Strategic management journal</w:t>
      </w:r>
      <w:r w:rsidDel="00000000" w:rsidR="00000000" w:rsidRPr="00000000">
        <w:rPr>
          <w:rtl w:val="0"/>
        </w:rPr>
        <w:t xml:space="preserve">, 21(12), 1225-1237.</w:t>
      </w:r>
    </w:p>
    <w:p w:rsidR="00000000" w:rsidDel="00000000" w:rsidP="00000000" w:rsidRDefault="00000000" w:rsidRPr="00000000" w14:paraId="0000005D">
      <w:pPr>
        <w:widowControl w:val="1"/>
        <w:ind w:left="480"/>
        <w:jc w:val="both"/>
        <w:rPr/>
      </w:pPr>
      <w:r w:rsidDel="00000000" w:rsidR="00000000" w:rsidRPr="00000000">
        <w:rPr>
          <w:rtl w:val="0"/>
        </w:rPr>
        <w:t xml:space="preserve">Li Yuan. (2013). </w:t>
      </w:r>
      <w:r w:rsidDel="00000000" w:rsidR="00000000" w:rsidRPr="00000000">
        <w:rPr>
          <w:color w:val="202124"/>
          <w:rtl w:val="0"/>
        </w:rPr>
        <w:t xml:space="preserve">Work-family conflict and balance: a work-family boundary theory perspective. </w:t>
      </w:r>
      <w:r w:rsidDel="00000000" w:rsidR="00000000" w:rsidRPr="00000000">
        <w:rPr>
          <w:i w:val="1"/>
          <w:color w:val="202124"/>
          <w:rtl w:val="0"/>
        </w:rPr>
        <w:t xml:space="preserve">Social Science Front</w:t>
      </w:r>
      <w:r w:rsidDel="00000000" w:rsidR="00000000" w:rsidRPr="00000000">
        <w:rPr>
          <w:rtl w:val="0"/>
        </w:rPr>
        <w:t xml:space="preserve">, 2, 180-188.</w:t>
      </w:r>
      <w:r w:rsidDel="00000000" w:rsidR="00000000" w:rsidRPr="00000000">
        <w:rPr>
          <w:rtl w:val="0"/>
        </w:rPr>
      </w:r>
    </w:p>
    <w:p w:rsidR="00000000" w:rsidDel="00000000" w:rsidP="00000000" w:rsidRDefault="00000000" w:rsidRPr="00000000" w14:paraId="0000005E">
      <w:pPr>
        <w:widowControl w:val="1"/>
        <w:ind w:left="480"/>
        <w:jc w:val="both"/>
        <w:rPr/>
      </w:pPr>
      <w:r w:rsidDel="00000000" w:rsidR="00000000" w:rsidRPr="00000000">
        <w:rPr>
          <w:rtl w:val="0"/>
        </w:rPr>
        <w:t xml:space="preserve">Netemeyer, R. G., Boles, J. S., &amp; McMurrian, R. (1996). Development and validation of work–family conflict and family–work conflict scales. </w:t>
      </w:r>
      <w:r w:rsidDel="00000000" w:rsidR="00000000" w:rsidRPr="00000000">
        <w:rPr>
          <w:i w:val="1"/>
          <w:rtl w:val="0"/>
        </w:rPr>
        <w:t xml:space="preserve">Journal of applied psychology</w:t>
      </w:r>
      <w:r w:rsidDel="00000000" w:rsidR="00000000" w:rsidRPr="00000000">
        <w:rPr>
          <w:rtl w:val="0"/>
        </w:rPr>
        <w:t xml:space="preserve">, 81(4), 400.</w:t>
      </w:r>
    </w:p>
    <w:p w:rsidR="00000000" w:rsidDel="00000000" w:rsidP="00000000" w:rsidRDefault="00000000" w:rsidRPr="00000000" w14:paraId="0000005F">
      <w:pPr>
        <w:widowControl w:val="1"/>
        <w:ind w:left="480"/>
        <w:jc w:val="both"/>
        <w:rPr/>
      </w:pPr>
      <w:r w:rsidDel="00000000" w:rsidR="00000000" w:rsidRPr="00000000">
        <w:rPr>
          <w:rtl w:val="0"/>
        </w:rPr>
        <w:t xml:space="preserve">Premeaux, S. F., Adkins, C. L., &amp; Mossholder, K. W. (2007). Balancing work and family: a field study of multi‐dimensional, multi‐role work‐family conflict. Journal of Organizational Behavior: </w:t>
      </w:r>
      <w:r w:rsidDel="00000000" w:rsidR="00000000" w:rsidRPr="00000000">
        <w:rPr>
          <w:i w:val="1"/>
          <w:rtl w:val="0"/>
        </w:rPr>
        <w:t xml:space="preserve">The International Journal of Industrial, Occupational and Organizational Psychology and Behavior</w:t>
      </w:r>
      <w:r w:rsidDel="00000000" w:rsidR="00000000" w:rsidRPr="00000000">
        <w:rPr>
          <w:rtl w:val="0"/>
        </w:rPr>
        <w:t xml:space="preserve">, 28(6), 705-727.</w:t>
      </w:r>
    </w:p>
    <w:p w:rsidR="00000000" w:rsidDel="00000000" w:rsidP="00000000" w:rsidRDefault="00000000" w:rsidRPr="00000000" w14:paraId="00000060">
      <w:pPr>
        <w:widowControl w:val="1"/>
        <w:ind w:left="480"/>
        <w:jc w:val="both"/>
        <w:rPr>
          <w:b w:val="1"/>
          <w:sz w:val="28"/>
          <w:szCs w:val="28"/>
        </w:rPr>
      </w:pPr>
      <w:r w:rsidDel="00000000" w:rsidR="00000000" w:rsidRPr="00000000">
        <w:rPr>
          <w:rtl w:val="0"/>
        </w:rPr>
        <w:t xml:space="preserve">Yen Ming  &amp; Cheng Shih. (2024). Segmentation or integration? The managerial approach to work-family balance in the age of virtual team work. </w:t>
      </w:r>
      <w:r w:rsidDel="00000000" w:rsidR="00000000" w:rsidRPr="00000000">
        <w:rPr>
          <w:i w:val="1"/>
          <w:rtl w:val="0"/>
        </w:rPr>
        <w:t xml:space="preserve">Advances in Psychological Science</w:t>
      </w:r>
      <w:r w:rsidDel="00000000" w:rsidR="00000000" w:rsidRPr="00000000">
        <w:rPr>
          <w:rtl w:val="0"/>
        </w:rPr>
        <w:t xml:space="preserve">, 32(5), 754.</w:t>
      </w:r>
      <w:r w:rsidDel="00000000" w:rsidR="00000000" w:rsidRPr="00000000">
        <w:rPr>
          <w:rtl w:val="0"/>
        </w:rPr>
        <w:t xml:space="preserve"> </w:t>
      </w:r>
      <w:r w:rsidDel="00000000" w:rsidR="00000000" w:rsidRPr="00000000">
        <w:rPr>
          <w:rtl w:val="0"/>
        </w:rPr>
      </w:r>
    </w:p>
    <w:sectPr>
      <w:headerReference r:id="rId7" w:type="default"/>
      <w:headerReference r:id="rId8" w:type="even"/>
      <w:footerReference r:id="rId9" w:type="default"/>
      <w:footerReference r:id="rId10" w:type="first"/>
      <w:footerReference r:id="rId11" w:type="even"/>
      <w:pgSz w:h="16838" w:w="11906" w:orient="portrait"/>
      <w:pgMar w:bottom="1440" w:top="1440" w:left="1440" w:right="1440" w:header="567" w:footer="85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International Conference on Innovation and Management, Sapporo, Japan, July 16-19, 2024.</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International Conference on Innovation and Management, Sapporo, Japan, July 16-19, 2024.</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International Conference on Innovation and Management, Sapporo, Japan, July 16-19, 2024.</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i w:val="1"/>
        <w:sz w:val="20"/>
        <w:szCs w:val="20"/>
      </w:rPr>
    </w:pPr>
    <w:r w:rsidDel="00000000" w:rsidR="00000000" w:rsidRPr="00000000">
      <w:rPr>
        <w:i w:val="1"/>
        <w:sz w:val="20"/>
        <w:szCs w:val="20"/>
        <w:rtl w:val="0"/>
      </w:rPr>
      <w:t xml:space="preserve">Employee Family Member Participation Measures from the Perspective of Enterprise Transformation</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i w:val="1"/>
        <w:sz w:val="20"/>
        <w:szCs w:val="20"/>
        <w:rtl w:val="0"/>
      </w:rPr>
      <w:t xml:space="preserve">Tse-Wen Hong and Su-Houn Liu</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2B6F43"/>
    <w:pPr>
      <w:widowControl w:val="0"/>
    </w:pPr>
    <w:rPr>
      <w:rFonts w:ascii="Times New Roman" w:hAnsi="Times New Roman"/>
      <w:kern w:val="2"/>
      <w:sz w:val="24"/>
      <w:szCs w:val="2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7646F5"/>
    <w:pPr>
      <w:tabs>
        <w:tab w:val="center" w:pos="4153"/>
        <w:tab w:val="right" w:pos="8306"/>
      </w:tabs>
      <w:snapToGrid w:val="0"/>
    </w:pPr>
    <w:rPr>
      <w:sz w:val="20"/>
      <w:szCs w:val="20"/>
    </w:rPr>
  </w:style>
  <w:style w:type="character" w:styleId="a4" w:customStyle="1">
    <w:name w:val="頁首 字元"/>
    <w:link w:val="a3"/>
    <w:uiPriority w:val="99"/>
    <w:rsid w:val="007646F5"/>
    <w:rPr>
      <w:kern w:val="2"/>
    </w:rPr>
  </w:style>
  <w:style w:type="paragraph" w:styleId="a5">
    <w:name w:val="footer"/>
    <w:basedOn w:val="a"/>
    <w:link w:val="a6"/>
    <w:uiPriority w:val="99"/>
    <w:unhideWhenUsed w:val="1"/>
    <w:rsid w:val="007646F5"/>
    <w:pPr>
      <w:tabs>
        <w:tab w:val="center" w:pos="4153"/>
        <w:tab w:val="right" w:pos="8306"/>
      </w:tabs>
      <w:snapToGrid w:val="0"/>
    </w:pPr>
    <w:rPr>
      <w:sz w:val="20"/>
      <w:szCs w:val="20"/>
    </w:rPr>
  </w:style>
  <w:style w:type="character" w:styleId="a6" w:customStyle="1">
    <w:name w:val="頁尾 字元"/>
    <w:link w:val="a5"/>
    <w:uiPriority w:val="99"/>
    <w:rsid w:val="007646F5"/>
    <w:rPr>
      <w:kern w:val="2"/>
    </w:rPr>
  </w:style>
  <w:style w:type="paragraph" w:styleId="a7">
    <w:name w:val="Balloon Text"/>
    <w:basedOn w:val="a"/>
    <w:link w:val="a8"/>
    <w:uiPriority w:val="99"/>
    <w:semiHidden w:val="1"/>
    <w:unhideWhenUsed w:val="1"/>
    <w:rsid w:val="00192B3B"/>
    <w:rPr>
      <w:rFonts w:ascii="Cambria" w:hAnsi="Cambria"/>
      <w:sz w:val="18"/>
      <w:szCs w:val="18"/>
    </w:rPr>
  </w:style>
  <w:style w:type="character" w:styleId="a8" w:customStyle="1">
    <w:name w:val="註解方塊文字 字元"/>
    <w:link w:val="a7"/>
    <w:uiPriority w:val="99"/>
    <w:semiHidden w:val="1"/>
    <w:rsid w:val="00192B3B"/>
    <w:rPr>
      <w:rFonts w:ascii="Cambria" w:cs="Times New Roman" w:eastAsia="新細明體" w:hAnsi="Cambria"/>
      <w:kern w:val="2"/>
      <w:sz w:val="18"/>
      <w:szCs w:val="18"/>
    </w:rPr>
  </w:style>
  <w:style w:type="paragraph" w:styleId="ParagraphText" w:customStyle="1">
    <w:name w:val="Paragraph Text"/>
    <w:basedOn w:val="a"/>
    <w:link w:val="ParagraphText0"/>
    <w:qFormat w:val="1"/>
    <w:rsid w:val="00865FD9"/>
    <w:pPr>
      <w:widowControl w:val="1"/>
      <w:ind w:firstLine="480" w:firstLineChars="200"/>
      <w:jc w:val="both"/>
    </w:pPr>
    <w:rPr>
      <w:szCs w:val="24"/>
    </w:rPr>
  </w:style>
  <w:style w:type="paragraph" w:styleId="Equation" w:customStyle="1">
    <w:name w:val="Equation"/>
    <w:basedOn w:val="ParagraphText"/>
    <w:qFormat w:val="1"/>
    <w:rsid w:val="00A1609F"/>
    <w:pPr>
      <w:tabs>
        <w:tab w:val="right" w:pos="8640"/>
      </w:tabs>
    </w:pPr>
    <w:rPr>
      <w:kern w:val="0"/>
    </w:rPr>
  </w:style>
  <w:style w:type="paragraph" w:styleId="FigureCaption" w:customStyle="1">
    <w:name w:val="Figure Caption"/>
    <w:basedOn w:val="a"/>
    <w:link w:val="FigureCaption0"/>
    <w:qFormat w:val="1"/>
    <w:rsid w:val="00865FD9"/>
    <w:pPr>
      <w:widowControl w:val="1"/>
      <w:jc w:val="center"/>
    </w:pPr>
    <w:rPr>
      <w:szCs w:val="24"/>
    </w:rPr>
  </w:style>
  <w:style w:type="paragraph" w:styleId="Title1" w:customStyle="1">
    <w:name w:val="Title 1"/>
    <w:basedOn w:val="a"/>
    <w:qFormat w:val="1"/>
    <w:rsid w:val="00865FD9"/>
    <w:pPr>
      <w:keepNext w:val="1"/>
      <w:jc w:val="center"/>
    </w:pPr>
    <w:rPr>
      <w:b w:val="1"/>
      <w:sz w:val="28"/>
      <w:szCs w:val="24"/>
    </w:rPr>
  </w:style>
  <w:style w:type="paragraph" w:styleId="Title2" w:customStyle="1">
    <w:name w:val="Title 2"/>
    <w:basedOn w:val="a"/>
    <w:qFormat w:val="1"/>
    <w:rsid w:val="00865FD9"/>
    <w:pPr>
      <w:keepNext w:val="1"/>
      <w:jc w:val="both"/>
    </w:pPr>
    <w:rPr>
      <w:b w:val="1"/>
      <w:szCs w:val="24"/>
    </w:rPr>
  </w:style>
  <w:style w:type="paragraph" w:styleId="Title3" w:customStyle="1">
    <w:name w:val="Title 3"/>
    <w:basedOn w:val="Title2"/>
    <w:qFormat w:val="1"/>
    <w:rsid w:val="009568E6"/>
    <w:rPr>
      <w:lang w:val="en-GB"/>
    </w:rPr>
  </w:style>
  <w:style w:type="paragraph" w:styleId="ParagraphText18pt" w:customStyle="1">
    <w:name w:val="Paragraph Text(18pt)"/>
    <w:basedOn w:val="ParagraphText"/>
    <w:link w:val="18pt"/>
    <w:qFormat w:val="1"/>
    <w:rsid w:val="00916E36"/>
    <w:pPr>
      <w:spacing w:line="360" w:lineRule="exact"/>
    </w:pPr>
  </w:style>
  <w:style w:type="paragraph" w:styleId="Hypotheses" w:customStyle="1">
    <w:name w:val="Hypotheses"/>
    <w:basedOn w:val="a"/>
    <w:qFormat w:val="1"/>
    <w:rsid w:val="00CD5EA9"/>
    <w:pPr>
      <w:widowControl w:val="1"/>
      <w:ind w:left="480" w:hanging="480" w:hangingChars="200"/>
      <w:jc w:val="both"/>
    </w:pPr>
    <w:rPr>
      <w:i w:val="1"/>
      <w:szCs w:val="24"/>
    </w:rPr>
  </w:style>
  <w:style w:type="character" w:styleId="ParagraphText0" w:customStyle="1">
    <w:name w:val="Paragraph Text 字元"/>
    <w:link w:val="ParagraphText"/>
    <w:rsid w:val="00916E36"/>
    <w:rPr>
      <w:rFonts w:ascii="Times New Roman" w:hAnsi="Times New Roman"/>
      <w:kern w:val="2"/>
      <w:sz w:val="24"/>
      <w:szCs w:val="24"/>
    </w:rPr>
  </w:style>
  <w:style w:type="character" w:styleId="18pt" w:customStyle="1">
    <w:name w:val="內容(18pt) 字元"/>
    <w:basedOn w:val="ParagraphText0"/>
    <w:link w:val="ParagraphText18pt"/>
    <w:rsid w:val="00916E36"/>
    <w:rPr>
      <w:rFonts w:ascii="Times New Roman" w:hAnsi="Times New Roman"/>
      <w:kern w:val="2"/>
      <w:sz w:val="24"/>
      <w:szCs w:val="24"/>
    </w:rPr>
  </w:style>
  <w:style w:type="paragraph" w:styleId="Figure" w:customStyle="1">
    <w:name w:val="Figure"/>
    <w:basedOn w:val="ParagraphText"/>
    <w:link w:val="Figure0"/>
    <w:qFormat w:val="1"/>
    <w:rsid w:val="00A1609F"/>
    <w:pPr>
      <w:keepNext w:val="1"/>
      <w:snapToGrid w:val="0"/>
      <w:ind w:firstLine="0" w:firstLineChars="0"/>
      <w:jc w:val="center"/>
    </w:pPr>
  </w:style>
  <w:style w:type="character" w:styleId="Figure0" w:customStyle="1">
    <w:name w:val="Figure 字元"/>
    <w:link w:val="Figure"/>
    <w:rsid w:val="00A1609F"/>
  </w:style>
  <w:style w:type="paragraph" w:styleId="TableCaption" w:customStyle="1">
    <w:name w:val="Table Caption"/>
    <w:basedOn w:val="FigureCaption"/>
    <w:next w:val="ParagraphText"/>
    <w:link w:val="TableCaption0"/>
    <w:qFormat w:val="1"/>
    <w:rsid w:val="00A1609F"/>
    <w:pPr>
      <w:keepNext w:val="1"/>
    </w:pPr>
  </w:style>
  <w:style w:type="paragraph" w:styleId="Titlepaper" w:customStyle="1">
    <w:name w:val="Title(paper)"/>
    <w:basedOn w:val="a"/>
    <w:link w:val="Titlepaper0"/>
    <w:qFormat w:val="1"/>
    <w:rsid w:val="001A17C1"/>
    <w:pPr>
      <w:jc w:val="center"/>
    </w:pPr>
    <w:rPr>
      <w:b w:val="1"/>
      <w:sz w:val="28"/>
      <w:szCs w:val="24"/>
    </w:rPr>
  </w:style>
  <w:style w:type="character" w:styleId="FigureCaption0" w:customStyle="1">
    <w:name w:val="Figure Caption 字元"/>
    <w:link w:val="FigureCaption"/>
    <w:rsid w:val="00A1609F"/>
    <w:rPr>
      <w:rFonts w:ascii="Times New Roman" w:hAnsi="Times New Roman"/>
      <w:kern w:val="2"/>
      <w:sz w:val="24"/>
      <w:szCs w:val="24"/>
    </w:rPr>
  </w:style>
  <w:style w:type="character" w:styleId="TableCaption0" w:customStyle="1">
    <w:name w:val="Table Caption 字元"/>
    <w:basedOn w:val="FigureCaption0"/>
    <w:link w:val="TableCaption"/>
    <w:rsid w:val="00A1609F"/>
    <w:rPr>
      <w:rFonts w:ascii="Times New Roman" w:hAnsi="Times New Roman"/>
      <w:kern w:val="2"/>
      <w:sz w:val="24"/>
      <w:szCs w:val="24"/>
    </w:rPr>
  </w:style>
  <w:style w:type="paragraph" w:styleId="1" w:customStyle="1">
    <w:name w:val="頁尾1"/>
    <w:basedOn w:val="a5"/>
    <w:link w:val="Footer"/>
    <w:qFormat w:val="1"/>
    <w:rsid w:val="009D7FCB"/>
    <w:pPr>
      <w:jc w:val="center"/>
    </w:pPr>
    <w:rPr>
      <w:i w:val="1"/>
      <w:szCs w:val="22"/>
    </w:rPr>
  </w:style>
  <w:style w:type="character" w:styleId="Titlepaper0" w:customStyle="1">
    <w:name w:val="Title(paper) 字元"/>
    <w:link w:val="Titlepaper"/>
    <w:rsid w:val="001A17C1"/>
    <w:rPr>
      <w:rFonts w:ascii="Times New Roman" w:hAnsi="Times New Roman"/>
      <w:b w:val="1"/>
      <w:kern w:val="2"/>
      <w:sz w:val="28"/>
      <w:szCs w:val="24"/>
    </w:rPr>
  </w:style>
  <w:style w:type="paragraph" w:styleId="Author" w:customStyle="1">
    <w:name w:val="Author"/>
    <w:basedOn w:val="a"/>
    <w:link w:val="Author0"/>
    <w:qFormat w:val="1"/>
    <w:rsid w:val="00E84F28"/>
    <w:pPr>
      <w:spacing w:after="180" w:afterLines="50" w:before="180" w:beforeLines="50"/>
      <w:jc w:val="center"/>
    </w:pPr>
    <w:rPr>
      <w:szCs w:val="24"/>
    </w:rPr>
  </w:style>
  <w:style w:type="character" w:styleId="Footer" w:customStyle="1">
    <w:name w:val="Footer 字元"/>
    <w:link w:val="1"/>
    <w:rsid w:val="009D7FCB"/>
    <w:rPr>
      <w:rFonts w:ascii="Times New Roman" w:hAnsi="Times New Roman"/>
      <w:i w:val="1"/>
      <w:kern w:val="2"/>
      <w:szCs w:val="22"/>
    </w:rPr>
  </w:style>
  <w:style w:type="paragraph" w:styleId="Affiliation" w:customStyle="1">
    <w:name w:val="Affiliation"/>
    <w:basedOn w:val="a"/>
    <w:link w:val="Affiliation0"/>
    <w:qFormat w:val="1"/>
    <w:rsid w:val="00E84F28"/>
    <w:pPr>
      <w:jc w:val="center"/>
    </w:pPr>
    <w:rPr>
      <w:szCs w:val="24"/>
    </w:rPr>
  </w:style>
  <w:style w:type="character" w:styleId="Author0" w:customStyle="1">
    <w:name w:val="Author 字元"/>
    <w:link w:val="Author"/>
    <w:rsid w:val="00E84F28"/>
    <w:rPr>
      <w:rFonts w:ascii="Times New Roman" w:hAnsi="Times New Roman"/>
      <w:kern w:val="2"/>
      <w:sz w:val="24"/>
      <w:szCs w:val="24"/>
    </w:rPr>
  </w:style>
  <w:style w:type="paragraph" w:styleId="E-mail" w:customStyle="1">
    <w:name w:val="E-mail"/>
    <w:basedOn w:val="a"/>
    <w:link w:val="E-mail0"/>
    <w:qFormat w:val="1"/>
    <w:rsid w:val="00E84F28"/>
    <w:pPr>
      <w:jc w:val="center"/>
    </w:pPr>
    <w:rPr>
      <w:szCs w:val="24"/>
    </w:rPr>
  </w:style>
  <w:style w:type="character" w:styleId="Affiliation0" w:customStyle="1">
    <w:name w:val="Affiliation 字元"/>
    <w:link w:val="Affiliation"/>
    <w:rsid w:val="00E84F28"/>
    <w:rPr>
      <w:rFonts w:ascii="Times New Roman" w:hAnsi="Times New Roman"/>
      <w:kern w:val="2"/>
      <w:sz w:val="24"/>
      <w:szCs w:val="24"/>
    </w:rPr>
  </w:style>
  <w:style w:type="paragraph" w:styleId="Head-even" w:customStyle="1">
    <w:name w:val="Head-even"/>
    <w:basedOn w:val="a3"/>
    <w:link w:val="Head-even0"/>
    <w:qFormat w:val="1"/>
    <w:rsid w:val="009D7FCB"/>
    <w:rPr>
      <w:i w:val="1"/>
    </w:rPr>
  </w:style>
  <w:style w:type="character" w:styleId="E-mail0" w:customStyle="1">
    <w:name w:val="E-mail 字元"/>
    <w:link w:val="E-mail"/>
    <w:rsid w:val="00E84F28"/>
    <w:rPr>
      <w:rFonts w:ascii="Times New Roman" w:hAnsi="Times New Roman"/>
      <w:kern w:val="2"/>
      <w:sz w:val="24"/>
      <w:szCs w:val="24"/>
    </w:rPr>
  </w:style>
  <w:style w:type="paragraph" w:styleId="Head-odd" w:customStyle="1">
    <w:name w:val="Head-odd"/>
    <w:basedOn w:val="a3"/>
    <w:link w:val="Head-odd0"/>
    <w:qFormat w:val="1"/>
    <w:rsid w:val="009D7FCB"/>
    <w:pPr>
      <w:jc w:val="right"/>
    </w:pPr>
    <w:rPr>
      <w:i w:val="1"/>
    </w:rPr>
  </w:style>
  <w:style w:type="character" w:styleId="Head-even0" w:customStyle="1">
    <w:name w:val="Head-even 字元"/>
    <w:link w:val="Head-even"/>
    <w:rsid w:val="009D7FCB"/>
    <w:rPr>
      <w:rFonts w:ascii="Times New Roman" w:hAnsi="Times New Roman"/>
      <w:i w:val="1"/>
      <w:kern w:val="2"/>
    </w:rPr>
  </w:style>
  <w:style w:type="character" w:styleId="Head-odd0" w:customStyle="1">
    <w:name w:val="Head-odd 字元"/>
    <w:link w:val="Head-odd"/>
    <w:rsid w:val="009D7FCB"/>
    <w:rPr>
      <w:rFonts w:ascii="Times New Roman" w:hAnsi="Times New Roman"/>
      <w:i w:val="1"/>
      <w:kern w:val="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HZm3asI6HN22J1i1Ca6xV2Lmzw==">CgMxLjAyCGguZ2pkZ3hzOAByITFqVmEtRi16NVR5U2lMV0oxcG05WllfbFRWWERJUG9lWA==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2019-07-11T05:17:00Z</dcterms:created>
  <dc:creator>michelle</dc:creator>
</cp:coreProperties>
</file>