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C082" w14:textId="3FE48648" w:rsidR="00F71CA0" w:rsidRDefault="006F1E7B" w:rsidP="00C65F44">
      <w:pPr>
        <w:pStyle w:val="Title"/>
        <w:spacing w:before="0"/>
      </w:pPr>
      <w:r w:rsidRPr="006F1E7B">
        <w:t xml:space="preserve">Data Leaks: </w:t>
      </w:r>
      <w:r>
        <w:t>c</w:t>
      </w:r>
      <w:r w:rsidRPr="006F1E7B">
        <w:t>an e-commerce convince users?</w:t>
      </w:r>
      <w:r w:rsidR="006E1548" w:rsidRPr="006E1548">
        <w:t xml:space="preserve"> </w:t>
      </w:r>
    </w:p>
    <w:p w14:paraId="5AB5787D" w14:textId="325F8D94" w:rsidR="006E1548" w:rsidRPr="00B52B78" w:rsidRDefault="00B52B78" w:rsidP="006E1548">
      <w:pPr>
        <w:spacing w:after="0" w:line="240" w:lineRule="auto"/>
        <w:jc w:val="center"/>
        <w:rPr>
          <w:rFonts w:ascii="Times New Roman" w:eastAsia="DFKai-SB" w:hAnsi="Times New Roman" w:cs="Times New Roman"/>
          <w:vertAlign w:val="superscript"/>
        </w:rPr>
      </w:pPr>
      <w:r w:rsidRPr="00B52B78">
        <w:rPr>
          <w:rFonts w:ascii="Times New Roman" w:eastAsia="DFKai-SB" w:hAnsi="Times New Roman" w:cs="Times New Roman"/>
        </w:rPr>
        <w:t>Cheng-Wen Lee</w:t>
      </w:r>
      <w:r w:rsidRPr="00B52B78">
        <w:rPr>
          <w:rFonts w:ascii="Times New Roman" w:eastAsia="DFKai-SB" w:hAnsi="Times New Roman" w:cs="Times New Roman"/>
          <w:vertAlign w:val="superscript"/>
        </w:rPr>
        <w:t>1</w:t>
      </w:r>
      <w:r w:rsidRPr="00B52B78">
        <w:rPr>
          <w:rFonts w:ascii="Times New Roman" w:eastAsia="DFKai-SB" w:hAnsi="Times New Roman" w:cs="Times New Roman"/>
        </w:rPr>
        <w:t xml:space="preserve">, </w:t>
      </w:r>
      <w:r w:rsidR="006E1548" w:rsidRPr="00B52B78">
        <w:rPr>
          <w:rFonts w:ascii="Times New Roman" w:eastAsia="DFKai-SB" w:hAnsi="Times New Roman" w:cs="Times New Roman"/>
        </w:rPr>
        <w:t xml:space="preserve">Romi Ilham </w:t>
      </w:r>
      <w:r w:rsidRPr="00B52B78">
        <w:rPr>
          <w:rFonts w:ascii="Times New Roman" w:eastAsia="DFKai-SB" w:hAnsi="Times New Roman" w:cs="Times New Roman"/>
          <w:vertAlign w:val="superscript"/>
        </w:rPr>
        <w:t>2</w:t>
      </w:r>
      <w:r w:rsidR="006E1548" w:rsidRPr="00B52B78">
        <w:rPr>
          <w:rFonts w:ascii="Times New Roman" w:eastAsia="DFKai-SB" w:hAnsi="Times New Roman" w:cs="Times New Roman"/>
          <w:vertAlign w:val="superscript"/>
        </w:rPr>
        <w:t>*</w:t>
      </w:r>
    </w:p>
    <w:p w14:paraId="23BCB6A8" w14:textId="194081F6" w:rsidR="00B52B78" w:rsidRPr="00B52B78" w:rsidRDefault="006F1E7B" w:rsidP="00683BE0">
      <w:pPr>
        <w:spacing w:after="0" w:line="240" w:lineRule="auto"/>
        <w:jc w:val="center"/>
        <w:rPr>
          <w:rFonts w:ascii="Times New Roman" w:hAnsi="Times New Roman" w:cs="Times New Roman"/>
        </w:rPr>
      </w:pPr>
      <w:r w:rsidRPr="00B52B78">
        <w:rPr>
          <w:rFonts w:ascii="Times New Roman" w:eastAsia="DFKai-SB" w:hAnsi="Times New Roman" w:cs="Times New Roman"/>
          <w:vertAlign w:val="superscript"/>
        </w:rPr>
        <w:t>1</w:t>
      </w:r>
      <w:r w:rsidR="00B52B78" w:rsidRPr="00B52B78">
        <w:rPr>
          <w:rFonts w:ascii="Times New Roman" w:eastAsia="Times New Roman" w:hAnsi="Times New Roman" w:cs="Times New Roman"/>
          <w:bCs/>
          <w:iCs/>
        </w:rPr>
        <w:t>Department of International Business, Chung Yuan Christian University, 200 Zhong Bei Road, Zhong Li District, Taoyuan City, 32023, Taiwan, ROC, Email: chengwen@cycu.edu.tw</w:t>
      </w:r>
    </w:p>
    <w:p w14:paraId="7A900F7F" w14:textId="5AC674F6" w:rsidR="00683BE0" w:rsidRPr="00B52B78" w:rsidRDefault="00B52B78" w:rsidP="00683BE0">
      <w:pPr>
        <w:spacing w:after="0" w:line="240" w:lineRule="auto"/>
        <w:jc w:val="center"/>
        <w:rPr>
          <w:rFonts w:ascii="Times New Roman" w:eastAsia="DFKai-SB" w:hAnsi="Times New Roman" w:cs="Times New Roman"/>
        </w:rPr>
      </w:pPr>
      <w:r w:rsidRPr="00B52B78">
        <w:rPr>
          <w:rFonts w:ascii="Times New Roman" w:eastAsia="DFKai-SB" w:hAnsi="Times New Roman" w:cs="Times New Roman"/>
          <w:vertAlign w:val="superscript"/>
        </w:rPr>
        <w:t>2*</w:t>
      </w:r>
      <w:r w:rsidR="00683BE0" w:rsidRPr="00B52B78">
        <w:rPr>
          <w:rFonts w:ascii="Times New Roman" w:eastAsia="DFKai-SB" w:hAnsi="Times New Roman" w:cs="Times New Roman"/>
        </w:rPr>
        <w:t>Ph.D. Program in Business, Chung Yuan Christian University, 200 Zhong Bei Road, Zhong Li District, Taoyuan City, 32023, Taiwan, ROC, Email: g11204607@cycu.edu.tw</w:t>
      </w:r>
    </w:p>
    <w:p w14:paraId="63025C6A" w14:textId="03AF6AB5" w:rsidR="006E1548" w:rsidRPr="00B52B78" w:rsidRDefault="00683BE0" w:rsidP="00683BE0">
      <w:pPr>
        <w:spacing w:after="0" w:line="240" w:lineRule="auto"/>
        <w:jc w:val="center"/>
        <w:rPr>
          <w:rFonts w:ascii="Times New Roman" w:eastAsia="DFKai-SB" w:hAnsi="Times New Roman" w:cs="Times New Roman"/>
        </w:rPr>
      </w:pPr>
      <w:r w:rsidRPr="00B52B78">
        <w:rPr>
          <w:rFonts w:ascii="Times New Roman" w:eastAsia="DFKai-SB" w:hAnsi="Times New Roman" w:cs="Times New Roman"/>
        </w:rPr>
        <w:t>Department of Accounting, Universitas Hayam Wuruk Perbanas, Wonorejo Utara 16 Road, Rungkut District, Surabaya City, 60296, Indonesia</w:t>
      </w:r>
    </w:p>
    <w:p w14:paraId="5C06F8A7" w14:textId="4C97665F" w:rsidR="006E1548" w:rsidRDefault="006E1548" w:rsidP="006E1548">
      <w:pPr>
        <w:spacing w:after="0" w:line="240" w:lineRule="auto"/>
        <w:jc w:val="center"/>
        <w:rPr>
          <w:rFonts w:ascii="Times New Roman" w:eastAsia="DFKai-SB" w:hAnsi="Times New Roman"/>
        </w:rPr>
      </w:pPr>
      <w:r w:rsidRPr="001131B5">
        <w:rPr>
          <w:rFonts w:ascii="Times New Roman" w:eastAsia="DFKai-SB" w:hAnsi="Times New Roman"/>
        </w:rPr>
        <w:t>*Corresponding Author:</w:t>
      </w:r>
      <w:r w:rsidRPr="00F9635C">
        <w:rPr>
          <w:rFonts w:ascii="Times New Roman" w:eastAsia="DFKai-SB" w:hAnsi="Times New Roman"/>
        </w:rPr>
        <w:t xml:space="preserve"> </w:t>
      </w:r>
      <w:r>
        <w:rPr>
          <w:rFonts w:ascii="Times New Roman" w:eastAsia="DFKai-SB" w:hAnsi="Times New Roman"/>
        </w:rPr>
        <w:t>romi ilham, romi_ilham@perbanas.ac.id</w:t>
      </w:r>
    </w:p>
    <w:p w14:paraId="733C592C" w14:textId="2E168341" w:rsidR="006E1548" w:rsidRDefault="006E1548" w:rsidP="006E1548"/>
    <w:p w14:paraId="4E67FA58" w14:textId="4C24993C" w:rsidR="00A51C04" w:rsidRDefault="00A51C04" w:rsidP="00A51C04">
      <w:pPr>
        <w:spacing w:line="240" w:lineRule="auto"/>
        <w:jc w:val="center"/>
        <w:rPr>
          <w:rFonts w:ascii="Times New Roman" w:eastAsia="DFKai-SB" w:hAnsi="Times New Roman"/>
          <w:b/>
          <w:bCs/>
          <w:sz w:val="32"/>
          <w:szCs w:val="32"/>
        </w:rPr>
      </w:pPr>
    </w:p>
    <w:p w14:paraId="2DB95A77" w14:textId="7A59498F" w:rsidR="006E1548" w:rsidRPr="00B7317C" w:rsidRDefault="006E1548" w:rsidP="00A51C04">
      <w:pPr>
        <w:spacing w:line="240" w:lineRule="auto"/>
        <w:jc w:val="center"/>
        <w:rPr>
          <w:rFonts w:ascii="Times New Roman" w:eastAsia="DFKai-SB" w:hAnsi="Times New Roman"/>
          <w:b/>
          <w:bCs/>
          <w:sz w:val="32"/>
          <w:szCs w:val="32"/>
        </w:rPr>
      </w:pPr>
      <w:r w:rsidRPr="00B7317C">
        <w:rPr>
          <w:rFonts w:ascii="Times New Roman" w:eastAsia="DFKai-SB" w:hAnsi="Times New Roman"/>
          <w:b/>
          <w:bCs/>
          <w:sz w:val="32"/>
          <w:szCs w:val="32"/>
        </w:rPr>
        <w:t>Abstract</w:t>
      </w:r>
    </w:p>
    <w:p w14:paraId="2B7C806E" w14:textId="0D82E192" w:rsidR="00D063B8" w:rsidRPr="00D063B8" w:rsidRDefault="00D063B8" w:rsidP="00D063B8">
      <w:pPr>
        <w:spacing w:after="0" w:line="240" w:lineRule="auto"/>
        <w:jc w:val="both"/>
        <w:rPr>
          <w:rFonts w:ascii="Times New Roman" w:eastAsia="DFKai-SB" w:hAnsi="Times New Roman"/>
        </w:rPr>
      </w:pPr>
      <w:r w:rsidRPr="00D063B8">
        <w:rPr>
          <w:rFonts w:ascii="Times New Roman" w:eastAsia="DFKai-SB" w:hAnsi="Times New Roman"/>
        </w:rPr>
        <w:t>Th</w:t>
      </w:r>
      <w:r>
        <w:rPr>
          <w:rFonts w:ascii="Times New Roman" w:eastAsia="DFKai-SB" w:hAnsi="Times New Roman"/>
        </w:rPr>
        <w:t>is study aim</w:t>
      </w:r>
      <w:r w:rsidRPr="00D063B8">
        <w:rPr>
          <w:rFonts w:ascii="Times New Roman" w:eastAsia="DFKai-SB" w:hAnsi="Times New Roman"/>
        </w:rPr>
        <w:t>s to analyze e</w:t>
      </w:r>
      <w:r>
        <w:rPr>
          <w:rFonts w:ascii="Times New Roman" w:eastAsia="DFKai-SB" w:hAnsi="Times New Roman"/>
        </w:rPr>
        <w:t>-</w:t>
      </w:r>
      <w:r w:rsidRPr="00D063B8">
        <w:rPr>
          <w:rFonts w:ascii="Times New Roman" w:eastAsia="DFKai-SB" w:hAnsi="Times New Roman"/>
        </w:rPr>
        <w:t xml:space="preserve">commerce user satisfaction influenced by trust and privacy cynicism with expectation confirmation theory </w:t>
      </w:r>
      <w:r>
        <w:rPr>
          <w:rFonts w:ascii="Times New Roman" w:eastAsia="DFKai-SB" w:hAnsi="Times New Roman"/>
        </w:rPr>
        <w:t>due to</w:t>
      </w:r>
      <w:r w:rsidRPr="00D063B8">
        <w:rPr>
          <w:rFonts w:ascii="Times New Roman" w:eastAsia="DFKai-SB" w:hAnsi="Times New Roman"/>
        </w:rPr>
        <w:t xml:space="preserve"> data leaks on the Tokopedia e-commerce platform in Indonesia. This type of research uses a quantitative approach through a survey method with a sample of Tokopedia e-commerce users in Indonesia</w:t>
      </w:r>
      <w:r>
        <w:rPr>
          <w:rFonts w:ascii="Times New Roman" w:eastAsia="DFKai-SB" w:hAnsi="Times New Roman"/>
        </w:rPr>
        <w:t>,</w:t>
      </w:r>
      <w:r w:rsidRPr="00D063B8">
        <w:rPr>
          <w:rFonts w:ascii="Times New Roman" w:eastAsia="DFKai-SB" w:hAnsi="Times New Roman"/>
        </w:rPr>
        <w:t xml:space="preserve"> as many as 268 respondents, and data analysis using SEM-PLS with Smart PLS 4 software. </w:t>
      </w:r>
      <w:r w:rsidRPr="00D063B8">
        <w:rPr>
          <w:rFonts w:ascii="Times New Roman" w:eastAsia="DFKai-SB" w:hAnsi="Times New Roman"/>
        </w:rPr>
        <w:t>C</w:t>
      </w:r>
      <w:r w:rsidRPr="00D063B8">
        <w:rPr>
          <w:rFonts w:ascii="Times New Roman" w:eastAsia="DFKai-SB" w:hAnsi="Times New Roman"/>
        </w:rPr>
        <w:t>onfirmation expectations affect perceived usefulness and trust but have no effect on satisfaction</w:t>
      </w:r>
      <w:r>
        <w:rPr>
          <w:rFonts w:ascii="Times New Roman" w:eastAsia="DFKai-SB" w:hAnsi="Times New Roman"/>
        </w:rPr>
        <w:t>;</w:t>
      </w:r>
      <w:r w:rsidRPr="00D063B8">
        <w:rPr>
          <w:rFonts w:ascii="Times New Roman" w:eastAsia="DFKai-SB" w:hAnsi="Times New Roman"/>
        </w:rPr>
        <w:t xml:space="preserve"> </w:t>
      </w:r>
      <w:r w:rsidRPr="00D063B8">
        <w:rPr>
          <w:rFonts w:ascii="Times New Roman" w:eastAsia="DFKai-SB" w:hAnsi="Times New Roman"/>
        </w:rPr>
        <w:t>privacy cynicism and perceived usefulness affect satisfaction and trust, and trust affects satisfaction.</w:t>
      </w:r>
    </w:p>
    <w:p w14:paraId="664C09AB" w14:textId="130398C7" w:rsidR="006E1548" w:rsidRDefault="006E1548" w:rsidP="00D063B8">
      <w:pPr>
        <w:spacing w:after="0" w:line="240" w:lineRule="auto"/>
        <w:rPr>
          <w:rFonts w:ascii="Times New Roman" w:eastAsia="DFKai-SB" w:hAnsi="Times New Roman"/>
        </w:rPr>
      </w:pPr>
      <w:r w:rsidRPr="00D063B8">
        <w:rPr>
          <w:rFonts w:ascii="Times New Roman" w:eastAsia="DFKai-SB" w:hAnsi="Times New Roman"/>
        </w:rPr>
        <w:t>Keywords</w:t>
      </w:r>
      <w:r w:rsidRPr="00D063B8">
        <w:rPr>
          <w:rFonts w:ascii="Times New Roman" w:eastAsia="DFKai-SB" w:hAnsi="Times New Roman" w:hint="eastAsia"/>
        </w:rPr>
        <w:t>:</w:t>
      </w:r>
      <w:r w:rsidRPr="00D063B8">
        <w:rPr>
          <w:rFonts w:ascii="Times New Roman" w:eastAsia="DFKai-SB" w:hAnsi="Times New Roman"/>
        </w:rPr>
        <w:t xml:space="preserve"> </w:t>
      </w:r>
      <w:r w:rsidR="00D063B8" w:rsidRPr="00D063B8">
        <w:rPr>
          <w:rFonts w:ascii="Times New Roman" w:eastAsia="DFKai-SB" w:hAnsi="Times New Roman"/>
        </w:rPr>
        <w:t>privacy cynicism, trust, e-commerce, perceived usefulness, confirmation expectation</w:t>
      </w:r>
      <w:r w:rsidR="00A51C04">
        <w:rPr>
          <w:rFonts w:ascii="Times New Roman" w:eastAsia="DFKai-SB" w:hAnsi="Times New Roman"/>
        </w:rPr>
        <w:t>.</w:t>
      </w:r>
    </w:p>
    <w:p w14:paraId="0C08B5FB" w14:textId="77777777" w:rsidR="00A51C04" w:rsidRPr="00D063B8" w:rsidRDefault="00A51C04" w:rsidP="00D063B8">
      <w:pPr>
        <w:spacing w:after="0" w:line="240" w:lineRule="auto"/>
        <w:rPr>
          <w:rFonts w:ascii="Times New Roman" w:eastAsia="DFKai-SB" w:hAnsi="Times New Roman"/>
        </w:rPr>
      </w:pPr>
    </w:p>
    <w:p w14:paraId="2C7D5A54" w14:textId="52DF6C76" w:rsidR="00F71CA0" w:rsidRDefault="006E1548" w:rsidP="00683BE0">
      <w:pPr>
        <w:pStyle w:val="Heading1"/>
      </w:pPr>
      <w:r w:rsidRPr="00683BE0">
        <w:t>Introduction</w:t>
      </w:r>
    </w:p>
    <w:p w14:paraId="118A8398" w14:textId="633E0E5B" w:rsidR="006F1E7B" w:rsidRPr="00C65F44" w:rsidRDefault="006F1E7B" w:rsidP="006F1E7B">
      <w:pPr>
        <w:pStyle w:val="Heading4"/>
        <w:rPr>
          <w:sz w:val="24"/>
          <w:szCs w:val="24"/>
          <w:lang w:val="en-US"/>
        </w:rPr>
      </w:pPr>
      <w:r w:rsidRPr="00A0773D">
        <w:rPr>
          <w:sz w:val="24"/>
          <w:szCs w:val="24"/>
        </w:rPr>
        <w:t>The exponential growth of Indonesia</w:t>
      </w:r>
      <w:r w:rsidR="002E6C2A">
        <w:rPr>
          <w:sz w:val="24"/>
          <w:szCs w:val="24"/>
        </w:rPr>
        <w:t>'</w:t>
      </w:r>
      <w:r w:rsidRPr="00A0773D">
        <w:rPr>
          <w:sz w:val="24"/>
          <w:szCs w:val="24"/>
        </w:rPr>
        <w:t xml:space="preserve">s population, surpassing 278 million according to the latest data from the Central Statistics Agency, has paralleled the rapid expansion of e-commerce within the country. </w:t>
      </w:r>
      <w:r w:rsidR="00191B72" w:rsidRPr="00A0773D">
        <w:rPr>
          <w:sz w:val="24"/>
          <w:szCs w:val="24"/>
        </w:rPr>
        <w:t xml:space="preserve">In 2023, the Indonesian Central Bureau of Statistics </w:t>
      </w:r>
      <w:r w:rsidR="00191B72" w:rsidRPr="00A0773D">
        <w:rPr>
          <w:sz w:val="24"/>
          <w:szCs w:val="24"/>
          <w:lang w:val="en-US"/>
        </w:rPr>
        <w:t xml:space="preserve">also </w:t>
      </w:r>
      <w:r w:rsidR="00191B72" w:rsidRPr="00A0773D">
        <w:rPr>
          <w:sz w:val="24"/>
          <w:szCs w:val="24"/>
        </w:rPr>
        <w:t>recorded that over 2.9 million businesses were using online trading platforms 2022</w:t>
      </w:r>
      <w:r w:rsidR="00191B72" w:rsidRPr="00A0773D">
        <w:rPr>
          <w:sz w:val="24"/>
          <w:szCs w:val="24"/>
          <w:lang w:val="en-US"/>
        </w:rPr>
        <w:t xml:space="preserve">. </w:t>
      </w:r>
      <w:r w:rsidRPr="00A0773D">
        <w:rPr>
          <w:sz w:val="24"/>
          <w:szCs w:val="24"/>
        </w:rPr>
        <w:t>This transformation is emblematic of the overarching global trend toward digitali</w:t>
      </w:r>
      <w:r w:rsidR="00BB2FA6">
        <w:rPr>
          <w:sz w:val="24"/>
          <w:szCs w:val="24"/>
        </w:rPr>
        <w:t>s</w:t>
      </w:r>
      <w:r w:rsidRPr="00A0773D">
        <w:rPr>
          <w:sz w:val="24"/>
          <w:szCs w:val="24"/>
        </w:rPr>
        <w:t>ation, where traditional trade practices are steadily giving way to the convenience and accessibility offered by e-commerce platforms</w:t>
      </w:r>
      <w:r w:rsidR="003B761D" w:rsidRPr="00A0773D">
        <w:rPr>
          <w:sz w:val="24"/>
          <w:szCs w:val="24"/>
          <w:lang w:val="en-US"/>
        </w:rPr>
        <w:t xml:space="preserve"> </w:t>
      </w:r>
      <w:r w:rsidR="003B761D" w:rsidRPr="00A0773D">
        <w:rPr>
          <w:sz w:val="24"/>
          <w:szCs w:val="24"/>
          <w:lang w:val="en-US"/>
        </w:rPr>
        <w:fldChar w:fldCharType="begin" w:fldLock="1"/>
      </w:r>
      <w:r w:rsidR="00372CDC">
        <w:rPr>
          <w:sz w:val="24"/>
          <w:szCs w:val="24"/>
          <w:lang w:val="en-US"/>
        </w:rPr>
        <w:instrText>ADDIN CSL_CITATION {"citationItems":[{"id":"ITEM-1","itemData":{"DOI":"10.30872/jim.v12i1.219","ISSN":"1858-4853","abstract":"Perkembangan penggunaan internet di masa kini, menempatkan internet sebagai teknologi yang umum digunakan dalam kehidupan sehari-hari. Tingginya akses netizen dalam mengakses social mediadan aktifitas pembelian online kemudian dimanfaatkan oleh pelaku bisnis dan pengguna internet itu sendiri untuk melakukan social commerce. Social commercemerupakan e-commercemelalui social mediaatau dengan memanfaatkan fitur-fitur sosial yang biasanya ada dalam social media. Perkembangan social commercemendorong pelaku e-commerceuntuk mengaplikasikan fitur social commerceke dalam website e-commercemereka. Dalam sebuah website e-commerce, dibutuhkan minimal tiga kategori fitur yang harusada untuk mendukung perubahan website e-commercetersebut menjadi menjadi website social commerce, yaitu adanya fitur transaksional, fitur relasional, dan fitur sosial. Tujuan dari penelitian ini adalah untuk mengetahui gambaran mengenai fitur-fitur social commerceyang digunakan pada website e-commercedi Indonesia. Data berupa screen capture website diambil dan kemudian dianalisis secara kualitatif. Pendekatan deskriptif digunakan agar dapat lebih banyak mengungkapkan dan menjelaskan informasi yang di dapatkan dari penelitian ini. Hasil penelitian ini menunjukkan bahwawebsite e-commercedalam penelitian ini lebih banyak menampilkan fitur rrelasional pada halaman home, dibandingkan dengan fitur sosial dan transaksional.","author":[{"dropping-particle":"","family":"Agustina","given":"Diah","non-dropping-particle":"","parse-names":false,"suffix":""}],"container-title":"Informatika Mulawarman : Jurnal Ilmiah Ilmu Komputer","id":"ITEM-1","issue":"1","issued":{"date-parts":[["2017"]]},"page":"25","title":"Fitur Social Commerce Dalam Website E-Commerce Di Indonesia","type":"article-journal","volume":"12"},"uris":["http://www.mendeley.com/documents/?uuid=4cac8b65-fd17-419d-a0a1-6f54bfe1192e"]}],"mendeley":{"formattedCitation":"(Agustina, 2017)","plainTextFormattedCitation":"(Agustina, 2017)","previouslyFormattedCitation":"(Agustina, 2017)"},"properties":{"noteIndex":0},"schema":"https://github.com/citation-style-language/schema/raw/master/csl-citation.json"}</w:instrText>
      </w:r>
      <w:r w:rsidR="003B761D" w:rsidRPr="00A0773D">
        <w:rPr>
          <w:sz w:val="24"/>
          <w:szCs w:val="24"/>
          <w:lang w:val="en-US"/>
        </w:rPr>
        <w:fldChar w:fldCharType="separate"/>
      </w:r>
      <w:r w:rsidR="00372CDC" w:rsidRPr="00372CDC">
        <w:rPr>
          <w:noProof/>
          <w:sz w:val="24"/>
          <w:szCs w:val="24"/>
          <w:lang w:val="en-US"/>
        </w:rPr>
        <w:t>(Agustina, 2017)</w:t>
      </w:r>
      <w:r w:rsidR="003B761D" w:rsidRPr="00A0773D">
        <w:rPr>
          <w:sz w:val="24"/>
          <w:szCs w:val="24"/>
          <w:lang w:val="en-US"/>
        </w:rPr>
        <w:fldChar w:fldCharType="end"/>
      </w:r>
      <w:r w:rsidRPr="00A0773D">
        <w:rPr>
          <w:sz w:val="24"/>
          <w:szCs w:val="24"/>
        </w:rPr>
        <w:t>. Bolstered by an extensive user base exceeding 178 million in 2023</w:t>
      </w:r>
      <w:r w:rsidR="00191B72" w:rsidRPr="00A0773D">
        <w:rPr>
          <w:sz w:val="24"/>
          <w:szCs w:val="24"/>
          <w:lang w:val="en-US"/>
        </w:rPr>
        <w:t xml:space="preserve"> </w:t>
      </w:r>
      <w:r w:rsidRPr="00A0773D">
        <w:rPr>
          <w:sz w:val="24"/>
          <w:szCs w:val="24"/>
        </w:rPr>
        <w:t>and over 215 million internet users recorded in the same year</w:t>
      </w:r>
      <w:r w:rsidR="00191B72" w:rsidRPr="00A0773D">
        <w:rPr>
          <w:sz w:val="24"/>
          <w:szCs w:val="24"/>
          <w:lang w:val="en-US"/>
        </w:rPr>
        <w:t xml:space="preserve"> </w:t>
      </w:r>
      <w:r w:rsidR="003C52CA" w:rsidRPr="00A0773D">
        <w:rPr>
          <w:sz w:val="24"/>
          <w:szCs w:val="24"/>
          <w:lang w:val="en-US"/>
        </w:rPr>
        <w:fldChar w:fldCharType="begin" w:fldLock="1"/>
      </w:r>
      <w:r w:rsidR="00372CDC">
        <w:rPr>
          <w:sz w:val="24"/>
          <w:szCs w:val="24"/>
          <w:lang w:val="en-US"/>
        </w:rPr>
        <w:instrText>ADDIN CSL_CITATION {"citationItems":[{"id":"ITEM-1","itemData":{"abstract":"… using the weighted average value of … produk sesuai dengan nilai produk bagi pelanggan, sedangkan kebutuhan dan keinginan pelanggan adalah harapan pelanggan terhadap produk. …","author":[{"dropping-particle":"","family":"IISPA","given":"Indonesia Internet Service Provider Association","non-dropping-particle":"","parse-names":false,"suffix":""}],"id":"ITEM-1","issue":"April","issued":{"date-parts":[["2023"]]},"number-of-pages":"63","title":"Internet Penetration &amp; Behavior Survey 2023","type":"report"},"uris":["http://www.mendeley.com/documents/?uuid=3566cd51-d076-41d3-8504-47f838882291"]}],"mendeley":{"formattedCitation":"(IISPA, 2023)","plainTextFormattedCitation":"(IISPA, 2023)","previouslyFormattedCitation":"(IISPA, 2023)"},"properties":{"noteIndex":0},"schema":"https://github.com/citation-style-language/schema/raw/master/csl-citation.json"}</w:instrText>
      </w:r>
      <w:r w:rsidR="003C52CA" w:rsidRPr="00A0773D">
        <w:rPr>
          <w:sz w:val="24"/>
          <w:szCs w:val="24"/>
          <w:lang w:val="en-US"/>
        </w:rPr>
        <w:fldChar w:fldCharType="separate"/>
      </w:r>
      <w:r w:rsidR="00372CDC" w:rsidRPr="00372CDC">
        <w:rPr>
          <w:noProof/>
          <w:sz w:val="24"/>
          <w:szCs w:val="24"/>
          <w:lang w:val="en-US"/>
        </w:rPr>
        <w:t>(IISPA, 2023)</w:t>
      </w:r>
      <w:r w:rsidR="003C52CA" w:rsidRPr="00A0773D">
        <w:rPr>
          <w:sz w:val="24"/>
          <w:szCs w:val="24"/>
          <w:lang w:val="en-US"/>
        </w:rPr>
        <w:fldChar w:fldCharType="end"/>
      </w:r>
      <w:r w:rsidRPr="00A0773D">
        <w:rPr>
          <w:sz w:val="24"/>
          <w:szCs w:val="24"/>
        </w:rPr>
        <w:t>, Indonesia stands at the forefront of the digital revolution. However, this transition has brought forth a critical concern—privacy</w:t>
      </w:r>
      <w:r w:rsidR="003B761D" w:rsidRPr="00A0773D">
        <w:rPr>
          <w:sz w:val="24"/>
          <w:szCs w:val="24"/>
          <w:lang w:val="en-US"/>
        </w:rPr>
        <w:t xml:space="preserve"> </w:t>
      </w:r>
      <w:r w:rsidR="003B761D" w:rsidRPr="00A0773D">
        <w:rPr>
          <w:sz w:val="24"/>
          <w:szCs w:val="24"/>
          <w:lang w:val="en-US"/>
        </w:rPr>
        <w:fldChar w:fldCharType="begin" w:fldLock="1"/>
      </w:r>
      <w:r w:rsidR="00372CDC">
        <w:rPr>
          <w:sz w:val="24"/>
          <w:szCs w:val="24"/>
          <w:lang w:val="en-US"/>
        </w:rPr>
        <w:instrText>ADDIN CSL_CITATION {"citationItems":[{"id":"ITEM-1","itemData":{"DOI":"10.26480/mecj.02.2019.12.14","ISSN":"2616-5155","abstract":"Internet has become an amazing potential for learning, entertainment and socializing gizmo. It has encouraged teenagers and children to participate and express themselves for extraordinary source of information and selfimprovement. Understanding the responsibility that comes with technology is a key to safety. The study is useful because it enabled contrast between the views of children and the parents with regard to online risks and threats. Therefore, a literature review has been simplified and produced a proposed scope of this field which covers the benefits, risks and issues of on internet which combine, replicate and modify 2 surveys done by several researchers who examined the issues of parental self-efficacy in controlling and monitoring technology. Estimated to be organized in December 2018 this research will also consist of a survey and a total of 12 tape-recorded semistructured interviews with children and parents to discover how often children encounter disturbing or harmful content on the web and what kind of prevention and solutions made by parents.","author":[{"dropping-particle":"","family":"Othman","given":"Razifah","non-dropping-particle":"","parse-names":false,"suffix":""},{"dropping-particle":"","family":"Rahim","given":"Kamal Fahrulrazy","non-dropping-particle":"","parse-names":false,"suffix":""},{"dropping-particle":"","family":"Kamarulzaman","given":"Rabiatul Adawiyah binti","non-dropping-particle":"","parse-names":false,"suffix":""},{"dropping-particle":"","family":"Amat","given":"Dia Widyawati","non-dropping-particle":"","parse-names":false,"suffix":""},{"dropping-particle":"","family":"Sham","given":"Rohana","non-dropping-particle":"","parse-names":false,"suffix":""}],"container-title":"Malaysian E Commerce Journal","id":"ITEM-1","issued":{"date-parts":[["2019"]]},"title":"Literature Review on Internet Benefits, Risks and Issues: A Case Study for Cyber Parenting in Malaysia","type":"article-journal"},"uris":["http://www.mendeley.com/documents/?uuid=b5ebd2e7-7d79-4bdc-a80b-5c740b25d9a3"]}],"mendeley":{"formattedCitation":"(Othman et al., 2019)","plainTextFormattedCitation":"(Othman et al., 2019)","previouslyFormattedCitation":"(Othman et al., 2019)"},"properties":{"noteIndex":0},"schema":"https://github.com/citation-style-language/schema/raw/master/csl-citation.json"}</w:instrText>
      </w:r>
      <w:r w:rsidR="003B761D" w:rsidRPr="00A0773D">
        <w:rPr>
          <w:sz w:val="24"/>
          <w:szCs w:val="24"/>
          <w:lang w:val="en-US"/>
        </w:rPr>
        <w:fldChar w:fldCharType="separate"/>
      </w:r>
      <w:r w:rsidR="00372CDC" w:rsidRPr="00372CDC">
        <w:rPr>
          <w:noProof/>
          <w:sz w:val="24"/>
          <w:szCs w:val="24"/>
          <w:lang w:val="en-US"/>
        </w:rPr>
        <w:t>(Othman et al., 2019)</w:t>
      </w:r>
      <w:r w:rsidR="003B761D" w:rsidRPr="00A0773D">
        <w:rPr>
          <w:sz w:val="24"/>
          <w:szCs w:val="24"/>
          <w:lang w:val="en-US"/>
        </w:rPr>
        <w:fldChar w:fldCharType="end"/>
      </w:r>
      <w:r w:rsidRPr="00A0773D">
        <w:rPr>
          <w:sz w:val="24"/>
          <w:szCs w:val="24"/>
        </w:rPr>
        <w:t>. As consumers and businesses increasingly engage in online transactions, the vulnerability of personal data becomes a pressing issue, particularly in light of recent data breaches on prominent e-commerce platforms like Tokopedia, Bukalapak, and Lazada</w:t>
      </w:r>
      <w:r w:rsidR="00191B72" w:rsidRPr="00A0773D">
        <w:rPr>
          <w:sz w:val="24"/>
          <w:szCs w:val="24"/>
          <w:lang w:val="en-US"/>
        </w:rPr>
        <w:t xml:space="preserve"> </w:t>
      </w:r>
      <w:r w:rsidR="00191B72" w:rsidRPr="00A0773D">
        <w:rPr>
          <w:sz w:val="24"/>
          <w:szCs w:val="24"/>
          <w:lang w:val="en-US"/>
        </w:rPr>
        <w:fldChar w:fldCharType="begin" w:fldLock="1"/>
      </w:r>
      <w:r w:rsidR="00372CDC">
        <w:rPr>
          <w:sz w:val="24"/>
          <w:szCs w:val="24"/>
          <w:lang w:val="en-US"/>
        </w:rPr>
        <w:instrText>ADDIN CSL_CITATION {"citationItems":[{"id":"ITEM-1","itemData":{"DOI":"10.2991/assehr.k.220404.096","abstract":"Tokopedia as a marketplace company experienced a leak of user's personal data due to burglary by a third party in 2020. In this regard, the Indonesian Consumer Community demands legal accountability against the Ministry of Communication and Information of the Republic of Indonesia related to the guarantee of Electronic System organizers on each component and the integration of all Electronic Systems operate properly, including Hardware, Software, experts, governance, and security for the personal data leakage event, including on Tokopedia. The problem is how is the legal responsibility of marketplace companies for user data leaks caused by burglary by third parties in the case of Tokopedia data leakage and how their accountability is viewed from the Consumer Protection Act. The method used is normative legal research. Tokopedia can be categorized as a business actor and its users are categorized as consumers. The position of the two in consumer protection law will have a different impact on the legal liability of Tokopedia in cases of data leaks that occur, so that liability issues arise. failure to protect the confidentiality of personal data to its users and improve the security system of the platform. Meanwhile, Tokopedia's legal liability under the Consumer Protection Law will be even wider, which includes civil and criminal legal liability.","author":[{"dropping-particle":"","family":"Perkasa","given":"Julius","non-dropping-particle":"","parse-names":false,"suffix":""},{"dropping-particle":"","family":"Saly","given":"Jeane Neltje","non-dropping-particle":"","parse-names":false,"suffix":""}],"container-title":"Proceedings of the 3rd Tarumanagara International Conference on the Applications of Social Sciences and Humanities (TICASH 2021)","id":"ITEM-1","issue":"8","issued":{"date-parts":[["2022"]]},"page":"606-614","title":"Legal Liability of Marketplace Companies Against Leaking of User Data Due to Third Party Breaking According to Law Number 8 of 1999 Concerning Consumer Protection (Case Example: Tokopedia User Data Leaking in 2020)","type":"article-journal","volume":"655"},"uris":["http://www.mendeley.com/documents/?uuid=3429c70b-4f5c-4424-a3f9-029039b485f0"]}],"mendeley":{"formattedCitation":"(Perkasa &amp; Saly, 2022)","manualFormatting":"(Perkasa and Saly, 2022)","plainTextFormattedCitation":"(Perkasa &amp; Saly, 2022)","previouslyFormattedCitation":"(Perkasa &amp; Saly, 2022)"},"properties":{"noteIndex":0},"schema":"https://github.com/citation-style-language/schema/raw/master/csl-citation.json"}</w:instrText>
      </w:r>
      <w:r w:rsidR="00191B72" w:rsidRPr="00A0773D">
        <w:rPr>
          <w:sz w:val="24"/>
          <w:szCs w:val="24"/>
          <w:lang w:val="en-US"/>
        </w:rPr>
        <w:fldChar w:fldCharType="separate"/>
      </w:r>
      <w:r w:rsidR="00191B72" w:rsidRPr="00A0773D">
        <w:rPr>
          <w:noProof/>
          <w:sz w:val="24"/>
          <w:szCs w:val="24"/>
          <w:lang w:val="en-US"/>
        </w:rPr>
        <w:t>(Perkasa and Saly</w:t>
      </w:r>
      <w:r w:rsidR="002E6A97" w:rsidRPr="00A0773D">
        <w:rPr>
          <w:noProof/>
          <w:sz w:val="24"/>
          <w:szCs w:val="24"/>
          <w:lang w:val="en-US"/>
        </w:rPr>
        <w:t>,</w:t>
      </w:r>
      <w:r w:rsidR="00191B72" w:rsidRPr="00A0773D">
        <w:rPr>
          <w:noProof/>
          <w:sz w:val="24"/>
          <w:szCs w:val="24"/>
          <w:lang w:val="en-US"/>
        </w:rPr>
        <w:t xml:space="preserve"> 2022)</w:t>
      </w:r>
      <w:r w:rsidR="00191B72" w:rsidRPr="00A0773D">
        <w:rPr>
          <w:sz w:val="24"/>
          <w:szCs w:val="24"/>
          <w:lang w:val="en-US"/>
        </w:rPr>
        <w:fldChar w:fldCharType="end"/>
      </w:r>
      <w:r w:rsidRPr="00A0773D">
        <w:rPr>
          <w:sz w:val="24"/>
          <w:szCs w:val="24"/>
        </w:rPr>
        <w:t>.</w:t>
      </w:r>
      <w:r w:rsidR="00C65F44">
        <w:rPr>
          <w:sz w:val="24"/>
          <w:szCs w:val="24"/>
          <w:lang w:val="en-US"/>
        </w:rPr>
        <w:t xml:space="preserve"> </w:t>
      </w:r>
      <w:r w:rsidR="00C65F44" w:rsidRPr="00C65F44">
        <w:rPr>
          <w:sz w:val="24"/>
          <w:szCs w:val="24"/>
          <w:lang w:val="en-US"/>
        </w:rPr>
        <w:t>In September 2023, the Tokopedia site recorded a 31% decline in users until now</w:t>
      </w:r>
      <w:r w:rsidR="00C65F44">
        <w:rPr>
          <w:sz w:val="24"/>
          <w:szCs w:val="24"/>
          <w:lang w:val="en-US"/>
        </w:rPr>
        <w:t>,</w:t>
      </w:r>
      <w:r w:rsidR="00C65F44" w:rsidRPr="00C65F44">
        <w:rPr>
          <w:sz w:val="24"/>
          <w:szCs w:val="24"/>
          <w:lang w:val="en-US"/>
        </w:rPr>
        <w:t xml:space="preserve"> there are 88.9 million active users, with data leaks spread across the internet, other data such as email, full name, cellphone number, address, date of birth, gender, and credit cards. This data can be misused by criminals, especially those related to scams and social engineering. (Telemarketing, Phishing/Scamming, Hacking other services, Dismantling keywords, Creating online loan accounts, profiling for political targets, or advertising on social media)</w:t>
      </w:r>
    </w:p>
    <w:p w14:paraId="6325198F" w14:textId="40C1A08A" w:rsidR="00173DA6" w:rsidRPr="00A0773D" w:rsidRDefault="006F1E7B" w:rsidP="006F1E7B">
      <w:pPr>
        <w:pStyle w:val="Heading4"/>
        <w:rPr>
          <w:sz w:val="24"/>
          <w:szCs w:val="24"/>
          <w:lang w:val="en-US"/>
        </w:rPr>
      </w:pPr>
      <w:r w:rsidRPr="00A0773D">
        <w:rPr>
          <w:sz w:val="24"/>
          <w:szCs w:val="24"/>
        </w:rPr>
        <w:t>The convergence of burgeoning e-commerce activity and escalating concerns over data privacy forms the focal point of contemporary discourse within Indonesia</w:t>
      </w:r>
      <w:r w:rsidR="002E6C2A">
        <w:rPr>
          <w:sz w:val="24"/>
          <w:szCs w:val="24"/>
        </w:rPr>
        <w:t>'</w:t>
      </w:r>
      <w:r w:rsidRPr="00A0773D">
        <w:rPr>
          <w:sz w:val="24"/>
          <w:szCs w:val="24"/>
        </w:rPr>
        <w:t>s digital ecosystem</w:t>
      </w:r>
      <w:r w:rsidR="003B761D" w:rsidRPr="00A0773D">
        <w:rPr>
          <w:sz w:val="24"/>
          <w:szCs w:val="24"/>
          <w:lang w:val="en-US"/>
        </w:rPr>
        <w:t xml:space="preserve"> </w:t>
      </w:r>
      <w:r w:rsidR="003B761D" w:rsidRPr="00A0773D">
        <w:rPr>
          <w:sz w:val="24"/>
          <w:szCs w:val="24"/>
          <w:lang w:val="en-US"/>
        </w:rPr>
        <w:fldChar w:fldCharType="begin" w:fldLock="1"/>
      </w:r>
      <w:r w:rsidR="00372CDC">
        <w:rPr>
          <w:sz w:val="24"/>
          <w:szCs w:val="24"/>
          <w:lang w:val="en-US"/>
        </w:rPr>
        <w:instrText>ADDIN CSL_CITATION {"citationItems":[{"id":"ITEM-1","itemData":{"abstract":"Indonesia has a large population and the growth of smartphone users in recent years defines a potential market for digital products. Establishment of the internet and technology advances creates innovations in various industry that allow consumers to access product and services easily and seamlessly. As consumer behavior is changing, digital service provider develops an online platform, which can be accessed anytime and anywhere, to fulfill consumer's needs and wants in the form of On-Demand Services application. Products or services can be easily ordered by consumers in \"one-click\" on the mobile application and will be delivered to the consumers immediately. By the time, On-Demand Services application provider scales up their business portfolio to high-contact services in several new categories namely housing or cleaning, laundry, repair services, health, and beauty. These new categories offer personalized services as well. This study analyzed the consumer's intention to use On-Demand Services application by examining variables in Extended Unified Theory of Acceptance and Use of Technology (UTAUT2). Data collected from respondents were analyzed using structural equation modeling (SEM) technique. The findings of this study indicated significant positive impact caused by performance expectancy, effort expectancy, habit, and immediacy. However, consumer's acceptance of this kind of technology was also affected by their perceived privacy as they start to concern about personal information exchanging occurred during consumption of the services. This study found that the consumer's intention to use On-Demand Services Application impacted by habit was weakened by their perceived privacy.","author":[{"dropping-particle":"","family":"Noraga","given":"Dewi","non-dropping-particle":"","parse-names":false,"suffix":""},{"dropping-particle":"","family":"Batu","given":"Lumban","non-dropping-particle":"","parse-names":false,"suffix":""},{"dropping-particle":"","family":"Alversia","given":"Yeshika","non-dropping-particle":"","parse-names":false,"suffix":""}],"id":"ITEM-1","issued":{"date-parts":[["2021"]]},"title":"UTAUT2 Analysis on the Use of On-Demand Services Application with Perceived Privacy as Moderating Effect","type":"report"},"uris":["http://www.mendeley.com/documents/?uuid=3090ac8e-f32d-4fd3-89e8-40957fee82be"]}],"mendeley":{"formattedCitation":"(Noraga et al., 2021)","plainTextFormattedCitation":"(Noraga et al., 2021)","previouslyFormattedCitation":"(Noraga et al., 2021)"},"properties":{"noteIndex":0},"schema":"https://github.com/citation-style-language/schema/raw/master/csl-citation.json"}</w:instrText>
      </w:r>
      <w:r w:rsidR="003B761D" w:rsidRPr="00A0773D">
        <w:rPr>
          <w:sz w:val="24"/>
          <w:szCs w:val="24"/>
          <w:lang w:val="en-US"/>
        </w:rPr>
        <w:fldChar w:fldCharType="separate"/>
      </w:r>
      <w:r w:rsidR="00372CDC" w:rsidRPr="00372CDC">
        <w:rPr>
          <w:noProof/>
          <w:sz w:val="24"/>
          <w:szCs w:val="24"/>
          <w:lang w:val="en-US"/>
        </w:rPr>
        <w:t>(Noraga et al., 2021)</w:t>
      </w:r>
      <w:r w:rsidR="003B761D" w:rsidRPr="00A0773D">
        <w:rPr>
          <w:sz w:val="24"/>
          <w:szCs w:val="24"/>
          <w:lang w:val="en-US"/>
        </w:rPr>
        <w:fldChar w:fldCharType="end"/>
      </w:r>
      <w:r w:rsidRPr="00A0773D">
        <w:rPr>
          <w:sz w:val="24"/>
          <w:szCs w:val="24"/>
        </w:rPr>
        <w:t xml:space="preserve">. As technology </w:t>
      </w:r>
      <w:r w:rsidR="002E6A97" w:rsidRPr="00A0773D">
        <w:rPr>
          <w:sz w:val="24"/>
          <w:szCs w:val="24"/>
        </w:rPr>
        <w:t>intertwines</w:t>
      </w:r>
      <w:r w:rsidRPr="00A0773D">
        <w:rPr>
          <w:sz w:val="24"/>
          <w:szCs w:val="24"/>
        </w:rPr>
        <w:t xml:space="preserve"> with daily life, the seamless exchange of goods and services through digital platforms has become ubiquitous, reshaping the dynamics of </w:t>
      </w:r>
      <w:r w:rsidRPr="00A0773D">
        <w:rPr>
          <w:sz w:val="24"/>
          <w:szCs w:val="24"/>
        </w:rPr>
        <w:lastRenderedPageBreak/>
        <w:t>commerce and communication</w:t>
      </w:r>
      <w:r w:rsidR="003B761D" w:rsidRPr="00A0773D">
        <w:rPr>
          <w:sz w:val="24"/>
          <w:szCs w:val="24"/>
          <w:lang w:val="en-US"/>
        </w:rPr>
        <w:t xml:space="preserve"> </w:t>
      </w:r>
      <w:r w:rsidR="003B761D" w:rsidRPr="00A0773D">
        <w:rPr>
          <w:sz w:val="24"/>
          <w:szCs w:val="24"/>
          <w:lang w:val="en-US"/>
        </w:rPr>
        <w:fldChar w:fldCharType="begin" w:fldLock="1"/>
      </w:r>
      <w:r w:rsidR="00372CDC">
        <w:rPr>
          <w:sz w:val="24"/>
          <w:szCs w:val="24"/>
          <w:lang w:val="en-US"/>
        </w:rPr>
        <w:instrText>ADDIN CSL_CITATION {"citationItems":[{"id":"ITEM-1","itemData":{"ISSN":"18173195","abstract":"The historical documentation in Indonesia highlights the significant role of Micro, Small, and Medium Enterprises (MSMEs) in fostering economic development. This project aims to develop an integrated accounting information system application, known as SMESH Platform - Small Medium Enterprise Headquarters, for the Medokan Ayu Village Community Empowerment Institute (LPMK) in Surabaya. LPMK currently accommodates 54 MSMEs. The proposed system incorporates digital marketing functionalities inside the accounting information system. MSMEs frequently encounter challenges related to administrative tasks, leading to a significant allocation of time towards bookkeeping activities. Consequently, this diversion of resources may result in decreased production levels. However, MSMEs can potentially mitigate this issue by prioritising digital marketing efforts, thereby optimising their overall operational efficiency. This study involves conducting practical research on the design of information systems for SMEs using the System Development Life Cycle (SDLC) approach, specifically employing the Waterfall technique. The research encompasses seven stages: planning, analysis, design, development, testing, deployment, and maintenance. The present study focuses on the development of an integrated accounting information system named SMESH (Small Medium Enterprise Headquarters) that incorporates digital marketing strategies.","author":[{"dropping-particle":"","family":"Yutanto","given":"Hariadi","non-dropping-particle":"","parse-names":false,"suffix":""},{"dropping-particle":"","family":"Ilham","given":"Romi","non-dropping-particle":"","parse-names":false,"suffix":""},{"dropping-particle":"","family":"Candraningrat","given":"","non-dropping-particle":"","parse-names":false,"suffix":""},{"dropping-particle":"","family":"Armansyah","given":"Rohmad Fuad","non-dropping-particle":"","parse-names":false,"suffix":""}],"container-title":"Journal of Theoretical and Applied Information Technology","id":"ITEM-1","issue":"23","issued":{"date-parts":[["2023"]]},"page":"7739-7748","title":"UNVEILING THE EVOLUTION: HOW HISTORY, POLITICS, CULTURE, AND TECHNOLOGY SHAPE ACCOUNTING SYSTEMS FOR SMEs IN INDONESIA","type":"article-journal","volume":"101"},"uris":["http://www.mendeley.com/documents/?uuid=73c184db-efdf-4b63-9795-ec5748a97e53"]}],"mendeley":{"formattedCitation":"(Yutanto et al., 2023)","plainTextFormattedCitation":"(Yutanto et al., 2023)","previouslyFormattedCitation":"(Yutanto et al., 2023)"},"properties":{"noteIndex":0},"schema":"https://github.com/citation-style-language/schema/raw/master/csl-citation.json"}</w:instrText>
      </w:r>
      <w:r w:rsidR="003B761D" w:rsidRPr="00A0773D">
        <w:rPr>
          <w:sz w:val="24"/>
          <w:szCs w:val="24"/>
          <w:lang w:val="en-US"/>
        </w:rPr>
        <w:fldChar w:fldCharType="separate"/>
      </w:r>
      <w:r w:rsidR="00372CDC" w:rsidRPr="00372CDC">
        <w:rPr>
          <w:noProof/>
          <w:sz w:val="24"/>
          <w:szCs w:val="24"/>
          <w:lang w:val="en-US"/>
        </w:rPr>
        <w:t>(Yutanto et al., 2023)</w:t>
      </w:r>
      <w:r w:rsidR="003B761D" w:rsidRPr="00A0773D">
        <w:rPr>
          <w:sz w:val="24"/>
          <w:szCs w:val="24"/>
          <w:lang w:val="en-US"/>
        </w:rPr>
        <w:fldChar w:fldCharType="end"/>
      </w:r>
      <w:r w:rsidRPr="00A0773D">
        <w:rPr>
          <w:sz w:val="24"/>
          <w:szCs w:val="24"/>
        </w:rPr>
        <w:t>. Nevertheless, this digital transformation has not been without its challenges. The proliferation of e-commerce has been accompanied by a parallel rise in privacy apprehensions among users, fueled by data leakage and exploitation</w:t>
      </w:r>
      <w:r w:rsidR="003B761D" w:rsidRPr="00A0773D">
        <w:rPr>
          <w:sz w:val="24"/>
          <w:szCs w:val="24"/>
          <w:lang w:val="en-US"/>
        </w:rPr>
        <w:t xml:space="preserve"> </w:t>
      </w:r>
      <w:r w:rsidR="003B761D" w:rsidRPr="00A0773D">
        <w:rPr>
          <w:sz w:val="24"/>
          <w:szCs w:val="24"/>
          <w:lang w:val="en-US"/>
        </w:rPr>
        <w:fldChar w:fldCharType="begin" w:fldLock="1"/>
      </w:r>
      <w:r w:rsidR="00372CDC">
        <w:rPr>
          <w:sz w:val="24"/>
          <w:szCs w:val="24"/>
          <w:lang w:val="en-US"/>
        </w:rPr>
        <w:instrText>ADDIN CSL_CITATION {"citationItems":[{"id":"ITEM-1","itemData":{"DOI":"10.1108/IntR-07-2013-0162","ISSN":"10662243","abstract":"Purpose - The purpose of this paper is to investigate the various factors that influence consumer trust and privacy on e-commerce system and identify different ethical factors that affect consumer perceptions toward e-commerce adoption. Design/methodology/approach-The theoretical background used in this study was critical theory on trust in e-commerce. Online survey from Second Life users was conducted to study ethical issues in e-commerce and their influencing factors. Findings-The results were focussed on significance of e-commerce ethics on consumer purchase and its influence on online marketing. The ethical performance of the e-commerce web site will facilitate an increase in trust, which in turn enhances customer commitment and loyalty. Research limitations/implications-The survey data in this study has some common method bias. The possibility of the existence of the common method bias cannot be completely eliminated. Security and privacy are the two major aspects that drive online businesses which lead online consumers to develop trust on the digital environment. Practical implications-The findings on e-commerce ethical research will be useful for current management practice such as making business policies and strategies and sharing information to managers and organization leaders. Originality/value-With the introduction of internet and e-commerce a large of companies has been performing their business transactions through electronic network. Increasing communication technologies has bought speedy changes in online business transactions. E-commerce networks are playing a pivotal role in online business and consumers are more concerned on ethical issues of e-commerce including security, privacy and trust.","author":[{"dropping-particle":"","family":"Sharma","given":"Gajendra","non-dropping-particle":"","parse-names":false,"suffix":""},{"dropping-particle":"","family":"Lijuan","given":"Wang","non-dropping-particle":"","parse-names":false,"suffix":""}],"container-title":"Internet Research","id":"ITEM-1","issue":"4","issued":{"date-parts":[["2014"]]},"page":"414-435","title":"Ethical perspectives on e-commerce: An empirical investigation","type":"article-journal","volume":"24"},"uris":["http://www.mendeley.com/documents/?uuid=55168154-4520-4cd7-8c09-9f73d67cd5a7"]}],"mendeley":{"formattedCitation":"(Sharma &amp; Lijuan, 2014)","plainTextFormattedCitation":"(Sharma &amp; Lijuan, 2014)","previouslyFormattedCitation":"(Sharma &amp; Lijuan, 2014)"},"properties":{"noteIndex":0},"schema":"https://github.com/citation-style-language/schema/raw/master/csl-citation.json"}</w:instrText>
      </w:r>
      <w:r w:rsidR="003B761D" w:rsidRPr="00A0773D">
        <w:rPr>
          <w:sz w:val="24"/>
          <w:szCs w:val="24"/>
          <w:lang w:val="en-US"/>
        </w:rPr>
        <w:fldChar w:fldCharType="separate"/>
      </w:r>
      <w:r w:rsidR="00372CDC" w:rsidRPr="00372CDC">
        <w:rPr>
          <w:noProof/>
          <w:sz w:val="24"/>
          <w:szCs w:val="24"/>
          <w:lang w:val="en-US"/>
        </w:rPr>
        <w:t>(Sharma &amp; Lijuan, 2014)</w:t>
      </w:r>
      <w:r w:rsidR="003B761D" w:rsidRPr="00A0773D">
        <w:rPr>
          <w:sz w:val="24"/>
          <w:szCs w:val="24"/>
          <w:lang w:val="en-US"/>
        </w:rPr>
        <w:fldChar w:fldCharType="end"/>
      </w:r>
      <w:r w:rsidRPr="00A0773D">
        <w:rPr>
          <w:sz w:val="24"/>
          <w:szCs w:val="24"/>
        </w:rPr>
        <w:t xml:space="preserve">. In this context, scholarly attention has increasingly turned towards understanding </w:t>
      </w:r>
      <w:r w:rsidR="002E6A97" w:rsidRPr="00A0773D">
        <w:rPr>
          <w:sz w:val="24"/>
          <w:szCs w:val="24"/>
        </w:rPr>
        <w:t>e-commerce privacy</w:t>
      </w:r>
      <w:r w:rsidR="002E6C2A">
        <w:rPr>
          <w:sz w:val="24"/>
          <w:szCs w:val="24"/>
        </w:rPr>
        <w:t>'</w:t>
      </w:r>
      <w:r w:rsidR="002E6A97" w:rsidRPr="00A0773D">
        <w:rPr>
          <w:sz w:val="24"/>
          <w:szCs w:val="24"/>
        </w:rPr>
        <w:t>s complexities</w:t>
      </w:r>
      <w:r w:rsidRPr="00A0773D">
        <w:rPr>
          <w:sz w:val="24"/>
          <w:szCs w:val="24"/>
        </w:rPr>
        <w:t xml:space="preserve"> and its implications for individuals and businesses</w:t>
      </w:r>
      <w:r w:rsidR="003B761D" w:rsidRPr="00A0773D">
        <w:rPr>
          <w:sz w:val="24"/>
          <w:szCs w:val="24"/>
          <w:lang w:val="en-US"/>
        </w:rPr>
        <w:t xml:space="preserve"> </w:t>
      </w:r>
      <w:r w:rsidR="003B761D" w:rsidRPr="00A0773D">
        <w:rPr>
          <w:sz w:val="24"/>
          <w:szCs w:val="24"/>
          <w:lang w:val="en-US"/>
        </w:rPr>
        <w:fldChar w:fldCharType="begin" w:fldLock="1"/>
      </w:r>
      <w:r w:rsidR="00372CDC">
        <w:rPr>
          <w:sz w:val="24"/>
          <w:szCs w:val="24"/>
          <w:lang w:val="en-US"/>
        </w:rPr>
        <w:instrText>ADDIN CSL_CITATION {"citationItems":[{"id":"ITEM-1","itemData":{"DOI":"10.1007/s10551-021-04884-3","ISBN":"0123456789","ISSN":"15730697","abstract":"Given the rapid growth and emerging trend of e-commerce have changed consumer preferences to buy online, this study analyzes the current Indian legal framework that protects online consumers’ interests. A thorough analysis of the two newly enacted laws, i.e., the Consumer Protection Act, 2019 and Consumer Protection (E-commerce) Rules, 2020 and literature review support analysis of 290 online consumers answering the research questions and achieving research objectives. The significant findings are that a secure and reliable system is essential for e-business firms to work successfully; cash on delivery is the priority option for online shopping; website information and effective customer care services build a customer's trust. The new regulations are arguably strong enough to protect and safeguard online consumers' rights and boost India’s e-commerce growth. Besides factors such as security, privacy, warranty, customer service, and website information, laws governing consumer rights protection in e-commerce influence customers’ trust. Growing e-commerce looks promising with a robust legal framework and consumer protection measures. The findings contribute to the body of knowledge on e-commerce and consumer rights protection by elucidating the key factors that affect customer trust and loyalty and offering an informative perspective on e-consumer protection in the Indian context with broader implications.","author":[{"dropping-particle":"","family":"Chawla","given":"Neelam","non-dropping-particle":"","parse-names":false,"suffix":""},{"dropping-particle":"","family":"Kumar","given":"Basanta","non-dropping-particle":"","parse-names":false,"suffix":""}],"container-title":"Journal of Business Ethics","id":"ITEM-1","issue":"2","issued":{"date-parts":[["2022"]]},"page":"581-604","publisher":"Springer Netherlands","title":"E-Commerce and Consumer Protection in India: The Emerging Trend","type":"article-journal","volume":"180"},"uris":["http://www.mendeley.com/documents/?uuid=ee0bdf8c-c09e-4695-9254-794534b417fd"]}],"mendeley":{"formattedCitation":"(Chawla &amp; Kumar, 2022)","plainTextFormattedCitation":"(Chawla &amp; Kumar, 2022)","previouslyFormattedCitation":"(Chawla &amp; Kumar, 2022)"},"properties":{"noteIndex":0},"schema":"https://github.com/citation-style-language/schema/raw/master/csl-citation.json"}</w:instrText>
      </w:r>
      <w:r w:rsidR="003B761D" w:rsidRPr="00A0773D">
        <w:rPr>
          <w:sz w:val="24"/>
          <w:szCs w:val="24"/>
          <w:lang w:val="en-US"/>
        </w:rPr>
        <w:fldChar w:fldCharType="separate"/>
      </w:r>
      <w:r w:rsidR="00372CDC" w:rsidRPr="00372CDC">
        <w:rPr>
          <w:noProof/>
          <w:sz w:val="24"/>
          <w:szCs w:val="24"/>
          <w:lang w:val="en-US"/>
        </w:rPr>
        <w:t>(Chawla &amp; Kumar, 2022)</w:t>
      </w:r>
      <w:r w:rsidR="003B761D" w:rsidRPr="00A0773D">
        <w:rPr>
          <w:sz w:val="24"/>
          <w:szCs w:val="24"/>
          <w:lang w:val="en-US"/>
        </w:rPr>
        <w:fldChar w:fldCharType="end"/>
      </w:r>
      <w:r w:rsidRPr="00A0773D">
        <w:rPr>
          <w:sz w:val="24"/>
          <w:szCs w:val="24"/>
        </w:rPr>
        <w:t xml:space="preserve">. </w:t>
      </w:r>
      <w:r w:rsidR="003B761D" w:rsidRPr="00A0773D">
        <w:rPr>
          <w:sz w:val="24"/>
          <w:szCs w:val="24"/>
        </w:rPr>
        <w:fldChar w:fldCharType="begin" w:fldLock="1"/>
      </w:r>
      <w:r w:rsidR="00372CDC">
        <w:rPr>
          <w:sz w:val="24"/>
          <w:szCs w:val="24"/>
        </w:rPr>
        <w:instrText>ADDIN CSL_CITATION {"citationItems":[{"id":"ITEM-1","itemData":{"DOI":"10.1111/jcom.12276","ISSN":"00219916","abstract":"This meta-analysis investigates privacy concerns and literacy as predictors of use of online services and social network sites (SNSs), sharing information, and adoption of privacy protective measures. A total of 166 studies from 34 countries (n = 75,269) were included in the analysis. In line with the premise of privacy paradox, privacy concerns did not predict SNS use. However, users concerned about privacy were less likely to use online services and share information and were more likely to utilize privacy protective measures. Except for information sharing, the relationships were comparable for intentions and behavior. Analyses also confirm the role that privacy literacy plays in enhancing use of privacy protective measures. The findings can be generalized across gender, cultural orientation, and national legal systems.","author":[{"dropping-particle":"","family":"Baruh","given":"Lemi","non-dropping-particle":"","parse-names":false,"suffix":""},{"dropping-particle":"","family":"Secinti","given":"Ekin","non-dropping-particle":"","parse-names":false,"suffix":""},{"dropping-particle":"","family":"Cemalcilar","given":"Zeynep","non-dropping-particle":"","parse-names":false,"suffix":""}],"container-title":"Journal of Communication","id":"ITEM-1","issue":"1","issued":{"date-parts":[["2017","2"]]},"page":"26-53","title":"Online Privacy Concerns and Privacy Management: A Meta-Analytical Review","type":"article-journal","volume":"67"},"uris":["http://www.mendeley.com/documents/?uuid=5097157c-bd33-4e39-bf1b-ed5b84179412"]},{"id":"ITEM-2","itemData":{"DOI":"10.5325/jinfopoli.1.2011.0149","ISSN":"2381-5892","abstract":"Privacy is one of the most urgent issues associated with information technology and digital media. This book claims that what people really care about when they complain and protest that privacy has been violated is not the act of sharing information itself—most people understand that this is crucial to social life —but the inappropriate, improper sharing of information.Arguing that privacy concerns should not be limited solely to concern about control over personal information, Helen Nissenbaum counters that information ought to be distributed and protected according to norms governing distinct social contexts—whether it be workplace, health care, schools, or among family and friends. She warns that basic distinctions between public and private, informing many current privacy policies, in fact obscure more than they clarify. In truth, contemporary information systems should alarm us only when they function without regard for social norms and values, and thereby weaken the fabric of social life.","author":[{"dropping-particle":"","family":"Nissenbaum","given":"Helen","non-dropping-particle":"","parse-names":false,"suffix":""}],"container-title":"Stanford University Press","id":"ITEM-2","issued":{"date-parts":[["2011"]]},"number-of-pages":"103","publisher-place":"California","title":"Privacy in Context: Technology, Policy, and the Integrity of Social Life","type":"book","volume":"1"},"uris":["http://www.mendeley.com/documents/?uuid=d7480716-2aca-451d-a519-69ffb6fcbbb0"]}],"mendeley":{"formattedCitation":"(Baruh et al., 2017; Nissenbaum, 2011)","manualFormatting":"Baruh, Secinti, and Cemalcilar (2017) and Nissenbaum (2011)","plainTextFormattedCitation":"(Baruh et al., 2017; Nissenbaum, 2011)","previouslyFormattedCitation":"(Baruh et al., 2017; Nissenbaum, 2011)"},"properties":{"noteIndex":0},"schema":"https://github.com/citation-style-language/schema/raw/master/csl-citation.json"}</w:instrText>
      </w:r>
      <w:r w:rsidR="003B761D" w:rsidRPr="00A0773D">
        <w:rPr>
          <w:sz w:val="24"/>
          <w:szCs w:val="24"/>
        </w:rPr>
        <w:fldChar w:fldCharType="separate"/>
      </w:r>
      <w:r w:rsidR="003B761D" w:rsidRPr="00A0773D">
        <w:rPr>
          <w:noProof/>
          <w:sz w:val="24"/>
          <w:szCs w:val="24"/>
        </w:rPr>
        <w:t xml:space="preserve">Baruh, Secinti, and Cemalcilar </w:t>
      </w:r>
      <w:r w:rsidR="003B761D" w:rsidRPr="00A0773D">
        <w:rPr>
          <w:noProof/>
          <w:sz w:val="24"/>
          <w:szCs w:val="24"/>
          <w:lang w:val="en-US"/>
        </w:rPr>
        <w:t>(</w:t>
      </w:r>
      <w:r w:rsidR="003B761D" w:rsidRPr="00A0773D">
        <w:rPr>
          <w:noProof/>
          <w:sz w:val="24"/>
          <w:szCs w:val="24"/>
        </w:rPr>
        <w:t>2017</w:t>
      </w:r>
      <w:r w:rsidR="003B761D" w:rsidRPr="00A0773D">
        <w:rPr>
          <w:noProof/>
          <w:sz w:val="24"/>
          <w:szCs w:val="24"/>
          <w:lang w:val="en-US"/>
        </w:rPr>
        <w:t xml:space="preserve">) and </w:t>
      </w:r>
      <w:r w:rsidR="003B761D" w:rsidRPr="00A0773D">
        <w:rPr>
          <w:noProof/>
          <w:sz w:val="24"/>
          <w:szCs w:val="24"/>
        </w:rPr>
        <w:t xml:space="preserve">Nissenbaum </w:t>
      </w:r>
      <w:r w:rsidR="003B761D" w:rsidRPr="00A0773D">
        <w:rPr>
          <w:noProof/>
          <w:sz w:val="24"/>
          <w:szCs w:val="24"/>
          <w:lang w:val="en-US"/>
        </w:rPr>
        <w:t>(</w:t>
      </w:r>
      <w:r w:rsidR="003B761D" w:rsidRPr="00A0773D">
        <w:rPr>
          <w:noProof/>
          <w:sz w:val="24"/>
          <w:szCs w:val="24"/>
        </w:rPr>
        <w:t>2011)</w:t>
      </w:r>
      <w:r w:rsidR="003B761D" w:rsidRPr="00A0773D">
        <w:rPr>
          <w:sz w:val="24"/>
          <w:szCs w:val="24"/>
        </w:rPr>
        <w:fldChar w:fldCharType="end"/>
      </w:r>
      <w:r w:rsidR="003B761D" w:rsidRPr="00A0773D">
        <w:rPr>
          <w:sz w:val="24"/>
          <w:szCs w:val="24"/>
          <w:lang w:val="en-US"/>
        </w:rPr>
        <w:t xml:space="preserve"> </w:t>
      </w:r>
      <w:r w:rsidRPr="00A0773D">
        <w:rPr>
          <w:sz w:val="24"/>
          <w:szCs w:val="24"/>
        </w:rPr>
        <w:t>have delved into the multifaceted nature of privacy concerns in the digital age, shedding light on the intricate interplay between technological advancements, consumer behavior, and regulatory frameworks. Against the backdrop of Indonesia</w:t>
      </w:r>
      <w:r w:rsidR="002E6C2A">
        <w:rPr>
          <w:sz w:val="24"/>
          <w:szCs w:val="24"/>
        </w:rPr>
        <w:t>'</w:t>
      </w:r>
      <w:r w:rsidRPr="00A0773D">
        <w:rPr>
          <w:sz w:val="24"/>
          <w:szCs w:val="24"/>
        </w:rPr>
        <w:t xml:space="preserve">s vibrant digital economy, </w:t>
      </w:r>
      <w:r w:rsidR="002E6A97" w:rsidRPr="00A0773D">
        <w:rPr>
          <w:sz w:val="24"/>
          <w:szCs w:val="24"/>
        </w:rPr>
        <w:t>addressing</w:t>
      </w:r>
      <w:r w:rsidRPr="00A0773D">
        <w:rPr>
          <w:sz w:val="24"/>
          <w:szCs w:val="24"/>
        </w:rPr>
        <w:t xml:space="preserve"> these privacy challenges becomes paramount, necessitating comprehensive strategies to safeguard user data and uphold consumer trust in the online marketplace</w:t>
      </w:r>
      <w:r w:rsidR="00173DA6" w:rsidRPr="00A0773D">
        <w:rPr>
          <w:sz w:val="24"/>
          <w:szCs w:val="24"/>
          <w:lang w:val="en-US"/>
        </w:rPr>
        <w:t xml:space="preserve"> </w:t>
      </w:r>
      <w:r w:rsidR="00173DA6" w:rsidRPr="00A0773D">
        <w:rPr>
          <w:sz w:val="24"/>
          <w:szCs w:val="24"/>
          <w:lang w:val="en-US"/>
        </w:rPr>
        <w:fldChar w:fldCharType="begin" w:fldLock="1"/>
      </w:r>
      <w:r w:rsidR="00372CDC">
        <w:rPr>
          <w:sz w:val="24"/>
          <w:szCs w:val="24"/>
          <w:lang w:val="en-US"/>
        </w:rPr>
        <w:instrText>ADDIN CSL_CITATION {"citationItems":[{"id":"ITEM-1","itemData":{"abstract":"Rapid technological advances are now driving all human activities so that they can be carried out through media mediated by communication networks and the internet, including shopping activities which are increasingly facilitated by the growing growth of e-commerce in Indonesia. Besides the advancement of technology, it is also accompanied by cyber crimes that are also experienced by Tokopedia. This study aims to examine the use of advertising titled promos to lead public opinion as a step and effort to increase trust and competitiveness. The type of research used is qualitative research using data analysis methods and is supported by additional interviews with Tokopedia consumers. The results of research related to user data security show that the level of cyber security in e-commerce in Indonesia is still low, thus making crimes such as cyber crime increase.","author":[{"dropping-particle":"","family":"Komalawati","given":"Desi","non-dropping-particle":"","parse-names":false,"suffix":""},{"dropping-particle":"","family":"Dewi R","given":"Maria M","non-dropping-particle":"","parse-names":false,"suffix":""},{"dropping-particle":"","family":"K","given":"Raiseta D","non-dropping-particle":"","parse-names":false,"suffix":""},{"dropping-particle":"","family":"P","given":"Ayulia K","non-dropping-particle":"","parse-names":false,"suffix":""}],"container-title":"Medio","id":"ITEM-1","issue":"2","issued":{"date-parts":[["2020"]]},"page":"114-122","title":"The Shock Of Tens Billion Tokopedia In The Middle Of Data Leaking Cases`","type":"article-journal","volume":"2"},"uris":["http://www.mendeley.com/documents/?uuid=b361934c-882a-4275-9e12-202e8d60a862"]}],"mendeley":{"formattedCitation":"(Komalawati et al., 2020)","plainTextFormattedCitation":"(Komalawati et al., 2020)","previouslyFormattedCitation":"(Komalawati et al., 2020)"},"properties":{"noteIndex":0},"schema":"https://github.com/citation-style-language/schema/raw/master/csl-citation.json"}</w:instrText>
      </w:r>
      <w:r w:rsidR="00173DA6" w:rsidRPr="00A0773D">
        <w:rPr>
          <w:sz w:val="24"/>
          <w:szCs w:val="24"/>
          <w:lang w:val="en-US"/>
        </w:rPr>
        <w:fldChar w:fldCharType="separate"/>
      </w:r>
      <w:r w:rsidR="00372CDC" w:rsidRPr="00372CDC">
        <w:rPr>
          <w:noProof/>
          <w:sz w:val="24"/>
          <w:szCs w:val="24"/>
          <w:lang w:val="en-US"/>
        </w:rPr>
        <w:t>(Komalawati et al., 2020)</w:t>
      </w:r>
      <w:r w:rsidR="00173DA6" w:rsidRPr="00A0773D">
        <w:rPr>
          <w:sz w:val="24"/>
          <w:szCs w:val="24"/>
          <w:lang w:val="en-US"/>
        </w:rPr>
        <w:fldChar w:fldCharType="end"/>
      </w:r>
      <w:r w:rsidRPr="00A0773D">
        <w:rPr>
          <w:sz w:val="24"/>
          <w:szCs w:val="24"/>
        </w:rPr>
        <w:t>.</w:t>
      </w:r>
      <w:r w:rsidR="00173DA6" w:rsidRPr="00A0773D">
        <w:rPr>
          <w:sz w:val="24"/>
          <w:szCs w:val="24"/>
          <w:lang w:val="en-US"/>
        </w:rPr>
        <w:t xml:space="preserve"> </w:t>
      </w:r>
    </w:p>
    <w:p w14:paraId="6050BD10" w14:textId="0164F0A1" w:rsidR="00E31239" w:rsidRPr="00A51C04" w:rsidRDefault="006F1E7B" w:rsidP="00A51C04">
      <w:pPr>
        <w:pStyle w:val="Heading4"/>
        <w:spacing w:after="240"/>
        <w:rPr>
          <w:rFonts w:eastAsia="Times New Roman"/>
        </w:rPr>
      </w:pPr>
      <w:r w:rsidRPr="00A0773D">
        <w:rPr>
          <w:sz w:val="24"/>
          <w:szCs w:val="24"/>
          <w:lang w:val="en-US"/>
        </w:rPr>
        <w:t xml:space="preserve"> </w:t>
      </w:r>
      <w:r w:rsidRPr="00A0773D">
        <w:rPr>
          <w:rFonts w:eastAsia="Times New Roman"/>
          <w:sz w:val="24"/>
          <w:szCs w:val="24"/>
        </w:rPr>
        <w:t>Previous studies have consistently shown a link between users</w:t>
      </w:r>
      <w:r w:rsidR="002E6C2A">
        <w:rPr>
          <w:rFonts w:eastAsia="Times New Roman"/>
          <w:sz w:val="24"/>
          <w:szCs w:val="24"/>
        </w:rPr>
        <w:t>'</w:t>
      </w:r>
      <w:r w:rsidRPr="00A0773D">
        <w:rPr>
          <w:rFonts w:eastAsia="Times New Roman"/>
          <w:sz w:val="24"/>
          <w:szCs w:val="24"/>
        </w:rPr>
        <w:t xml:space="preserve"> privacy concerns and willingness to share information</w:t>
      </w:r>
      <w:r w:rsidR="007C3CC4" w:rsidRPr="00A0773D">
        <w:rPr>
          <w:rFonts w:eastAsia="Times New Roman"/>
          <w:sz w:val="24"/>
          <w:szCs w:val="24"/>
          <w:lang w:val="en-US"/>
        </w:rPr>
        <w:t xml:space="preserve"> </w:t>
      </w:r>
      <w:r w:rsidR="007C3CC4" w:rsidRPr="00A0773D">
        <w:rPr>
          <w:rFonts w:eastAsia="Times New Roman"/>
          <w:sz w:val="24"/>
          <w:szCs w:val="24"/>
          <w:lang w:val="en-US"/>
        </w:rPr>
        <w:fldChar w:fldCharType="begin" w:fldLock="1"/>
      </w:r>
      <w:r w:rsidR="00372CDC">
        <w:rPr>
          <w:rFonts w:eastAsia="Times New Roman"/>
          <w:sz w:val="24"/>
          <w:szCs w:val="24"/>
          <w:lang w:val="en-US"/>
        </w:rPr>
        <w:instrText>ADDIN CSL_CITATION {"citationItems":[{"id":"ITEM-1","itemData":{"DOI":"10.1002/cb.2012","ISSN":"1472-0817","abstract":"In the age of digitalization, customer and consumer data have become a valuable source of information for companies. However, to obtain these data, companies depend on peoples' willingness to share (WTS) their private data with them. By means of a large‐scale online experiment with more than 20,000 participants, we investigated the extent to which peoples' WTS private data is affected by contextual factors. We complement and extend previous research by (i) simultaneously addressing several contextual factors that companies can largely control themselves, (ii) comparing their relative impacts on WTS, and (iii) explicitly examining interactions between these contextual factors in addition to their specific univariate effects. Concretely, we investigate contextual factors, such as the type of data requested, the purpose for which the data are used, the industry sector a corresponding company belongs to, the type of compensation offered for the shared data, and the degree to which the data allows for personal identification. Our data suggest that all these factors do affect peoples' WTS significantly, while there are also multiple significant interaction effects between these contextual factors. For instance, we found that a better intuitive match between the core business a company is engaged in and the type of data that is requested, results in higher proportions of people who are willing to share the corresponding data with the corresponding company. Hence, companies may benefit from tuning their requests for consumer or customer data according to the specific context in which they operate.","author":[{"dropping-particle":"","family":"Ackermann","given":"Kurt Alexander","non-dropping-particle":"","parse-names":false,"suffix":""},{"dropping-particle":"","family":"Burkhalter","given":"Linda","non-dropping-particle":"","parse-names":false,"suffix":""},{"dropping-particle":"","family":"Mildenberger","given":"Thoralf","non-dropping-particle":"","parse-names":false,"suffix":""},{"dropping-particle":"","family":"Frey","given":"Martin","non-dropping-particle":"","parse-names":false,"suffix":""},{"dropping-particle":"","family":"Bearth","given":"Angela","non-dropping-particle":"","parse-names":false,"suffix":""}],"container-title":"Journal of Consumer Behaviour","id":"ITEM-1","issue":"2","issued":{"date-parts":[["2022","3","21"]]},"page":"375-386","title":"Willingness to share data: Contextual determinants of consumers' decisions to share private data with companies","type":"article-journal","volume":"21"},"uris":["http://www.mendeley.com/documents/?uuid=48b9167a-ebe2-4708-86d5-cb4f67423a40"]},{"id":"ITEM-2","itemData":{"DOI":"10.1016/j.jretconser.2023.103385","ISSN":"09696989","author":[{"dropping-particle":"","family":"Degutis","given":"Mindaugas","non-dropping-particle":"","parse-names":false,"suffix":""},{"dropping-particle":"","family":"Urbonavičius","given":"Sigitas","non-dropping-particle":"","parse-names":false,"suffix":""},{"dropping-particle":"","family":"Hollebeek","given":"Linda D.","non-dropping-particle":"","parse-names":false,"suffix":""},{"dropping-particle":"","family":"Anselmsson","given":"Johan","non-dropping-particle":"","parse-names":false,"suffix":""}],"container-title":"Journal of Retailing and Consumer Services","id":"ITEM-2","issued":{"date-parts":[["2023","9"]]},"page":"103385","title":"Consumers’ willingness to disclose their personal data in e-commerce: A reciprocity-based social exchange perspective","type":"article-journal","volume":"74"},"uris":["http://www.mendeley.com/documents/?uuid=758461a2-f93e-4cbf-88a8-ed40f5689b30"]}],"mendeley":{"formattedCitation":"(Ackermann et al., 2022; Degutis et al., 2023)","plainTextFormattedCitation":"(Ackermann et al., 2022; Degutis et al., 2023)","previouslyFormattedCitation":"(Ackermann et al., 2022; Degutis et al., 2023)"},"properties":{"noteIndex":0},"schema":"https://github.com/citation-style-language/schema/raw/master/csl-citation.json"}</w:instrText>
      </w:r>
      <w:r w:rsidR="007C3CC4" w:rsidRPr="00A0773D">
        <w:rPr>
          <w:rFonts w:eastAsia="Times New Roman"/>
          <w:sz w:val="24"/>
          <w:szCs w:val="24"/>
          <w:lang w:val="en-US"/>
        </w:rPr>
        <w:fldChar w:fldCharType="separate"/>
      </w:r>
      <w:r w:rsidR="00372CDC" w:rsidRPr="00372CDC">
        <w:rPr>
          <w:rFonts w:eastAsia="Times New Roman"/>
          <w:noProof/>
          <w:sz w:val="24"/>
          <w:szCs w:val="24"/>
          <w:lang w:val="en-US"/>
        </w:rPr>
        <w:t>(Ackermann et al., 2022; Degutis et al., 2023)</w:t>
      </w:r>
      <w:r w:rsidR="007C3CC4" w:rsidRPr="00A0773D">
        <w:rPr>
          <w:rFonts w:eastAsia="Times New Roman"/>
          <w:sz w:val="24"/>
          <w:szCs w:val="24"/>
          <w:lang w:val="en-US"/>
        </w:rPr>
        <w:fldChar w:fldCharType="end"/>
      </w:r>
      <w:r w:rsidR="007C3CC4" w:rsidRPr="00A0773D">
        <w:rPr>
          <w:rFonts w:eastAsia="Times New Roman"/>
          <w:sz w:val="24"/>
          <w:szCs w:val="24"/>
          <w:lang w:val="en-US"/>
        </w:rPr>
        <w:t xml:space="preserve">. </w:t>
      </w:r>
      <w:r w:rsidRPr="00A0773D">
        <w:rPr>
          <w:rFonts w:eastAsia="Times New Roman"/>
          <w:sz w:val="24"/>
          <w:szCs w:val="24"/>
        </w:rPr>
        <w:t xml:space="preserve">This </w:t>
      </w:r>
      <w:r w:rsidRPr="00A0773D">
        <w:rPr>
          <w:rFonts w:eastAsia="Times New Roman"/>
          <w:color w:val="000000" w:themeColor="text1"/>
          <w:sz w:val="24"/>
          <w:szCs w:val="24"/>
        </w:rPr>
        <w:t xml:space="preserve">connection is believed to be due to a lack of awareness about the potential risks </w:t>
      </w:r>
      <w:r w:rsidR="002E6A97" w:rsidRPr="00A0773D">
        <w:rPr>
          <w:rFonts w:eastAsia="Times New Roman"/>
          <w:color w:val="000000" w:themeColor="text1"/>
          <w:sz w:val="24"/>
          <w:szCs w:val="24"/>
        </w:rPr>
        <w:t>of</w:t>
      </w:r>
      <w:r w:rsidRPr="00A0773D">
        <w:rPr>
          <w:rFonts w:eastAsia="Times New Roman"/>
          <w:color w:val="000000" w:themeColor="text1"/>
          <w:sz w:val="24"/>
          <w:szCs w:val="24"/>
        </w:rPr>
        <w:t xml:space="preserve"> the internet and online platforms</w:t>
      </w:r>
      <w:r w:rsidR="007C3CC4" w:rsidRPr="00A0773D">
        <w:rPr>
          <w:rFonts w:eastAsia="Times New Roman"/>
          <w:color w:val="000000" w:themeColor="text1"/>
          <w:sz w:val="24"/>
          <w:szCs w:val="24"/>
          <w:lang w:val="en-US"/>
        </w:rPr>
        <w:t xml:space="preserve"> </w:t>
      </w:r>
      <w:r w:rsidR="007C3CC4" w:rsidRPr="00A0773D">
        <w:rPr>
          <w:rFonts w:eastAsia="Times New Roman"/>
          <w:color w:val="000000" w:themeColor="text1"/>
          <w:sz w:val="24"/>
          <w:szCs w:val="24"/>
          <w:lang w:val="en-US"/>
        </w:rPr>
        <w:fldChar w:fldCharType="begin" w:fldLock="1"/>
      </w:r>
      <w:r w:rsidR="00372CDC">
        <w:rPr>
          <w:rFonts w:eastAsia="Times New Roman"/>
          <w:color w:val="000000" w:themeColor="text1"/>
          <w:sz w:val="24"/>
          <w:szCs w:val="24"/>
          <w:lang w:val="en-US"/>
        </w:rPr>
        <w:instrText>ADDIN CSL_CITATION {"citationItems":[{"id":"ITEM-1","itemData":{"DOI":"10.5817/CP2016-4-7","ISSN":"18027962","abstract":"Privacy concerns among Internet users are consistently found to be high. At the same time, these concerns do not appear to generate a corresponding wave of privacy protection behavior. A number of studies have addressed the apparent divergence between users’ privacy concerns and behavior, with results varying according to context. Previous research has examined user trust, lack of risk awareness and the privacy calculus as potential solutions to the “privacy paradox”. Complementing these perspectives, we propose that some users faced with seemingly overwhelming privacy threats develop an attitude of “privacy cynicism”, leading to a resigned neglect of protection behavior. Privacy cynicism serves as a cognitive coping mechanism, allowing users to rationalize taking advantage of online services despite serious privacy concerns. We conduct an interdisciplinary literature review to define the core concept, then empirically substantiate it based on qualitative data collected among German Internet users.","author":[{"dropping-particle":"","family":"Hoffmann","given":"Christian Pieter","non-dropping-particle":"","parse-names":false,"suffix":""},{"dropping-particle":"","family":"Lutz","given":"Christoph","non-dropping-particle":"","parse-names":false,"suffix":""},{"dropping-particle":"","family":"Ranzini","given":"Giulia","non-dropping-particle":"","parse-names":false,"suffix":""}],"container-title":"Cyberpsychology","id":"ITEM-1","issue":"4","issued":{"date-parts":[["2016"]]},"title":"Privacy cynicism: A new approach to the privacy paradox","type":"article-journal","volume":"10"},"uris":["http://www.mendeley.com/documents/?uuid=482c23d8-2906-4003-a7bf-35405886588f"]},{"id":"ITEM-2","itemData":{"DOI":"10.1016/j.chb.2017.10.007","ISSN":"07475632","abstract":"A quantitative behavioural online study examined a set of hazards that correspond with security- and privacy settings of the major global online social network (Facebook). These settings concern access to a user's account and access to the user's shared information (both security) as well as regulation of the user's information-sharing and user's regulation of others' information-sharing in relation to the user (both privacy). We measured 201 non-student UK users' perceptions of risk and other risk dimensions, and precautionary behaviour. First, perceptions of risk and dread were highest and precautionary behaviour was most common for hazards related to users' regulation of information-sharing. Other hazards were perceived as less risky and less precaution was taken against these, even though they can lead to breaches of users' security or privacy. Second, consistent with existing theory, significant predictors of perceived risk were attitude towards sharing information on Facebook, dread, voluntariness, catastrophic potential and Internet experience; and significant predictors of precautionary behaviour were perceived risk, control, voluntariness and Internet experience. Methodological implications emphasise the need for non-aggregated analysis and practical implications emphasise interventions to promote safe online social-network use.","author":[{"dropping-particle":"","family":"Schaik","given":"Paul","non-dropping-particle":"van","parse-names":false,"suffix":""},{"dropping-particle":"","family":"Jansen","given":"Jurjen","non-dropping-particle":"","parse-names":false,"suffix":""},{"dropping-particle":"","family":"Onibokun","given":"Joseph","non-dropping-particle":"","parse-names":false,"suffix":""},{"dropping-particle":"","family":"Camp","given":"Jean","non-dropping-particle":"","parse-names":false,"suffix":""},{"dropping-particle":"","family":"Kusev","given":"Petko","non-dropping-particle":"","parse-names":false,"suffix":""}],"container-title":"Computers in Human Behavior","id":"ITEM-2","issued":{"date-parts":[["2018"]]},"page":"283-297","publisher":"Elsevier Ltd","title":"Security and privacy in online social networking: Risk perceptions and precautionary behaviour","type":"article-journal","volume":"78"},"uris":["http://www.mendeley.com/documents/?uuid=c88e62b4-255f-483a-a1db-7a368664bb01"]}],"mendeley":{"formattedCitation":"(C. P. Hoffmann et al., 2016; van Schaik et al., 2018)","plainTextFormattedCitation":"(C. P. Hoffmann et al., 2016; van Schaik et al., 2018)","previouslyFormattedCitation":"(C. P. Hoffmann et al., 2016; van Schaik et al., 2018)"},"properties":{"noteIndex":0},"schema":"https://github.com/citation-style-language/schema/raw/master/csl-citation.json"}</w:instrText>
      </w:r>
      <w:r w:rsidR="007C3CC4" w:rsidRPr="00A0773D">
        <w:rPr>
          <w:rFonts w:eastAsia="Times New Roman"/>
          <w:color w:val="000000" w:themeColor="text1"/>
          <w:sz w:val="24"/>
          <w:szCs w:val="24"/>
          <w:lang w:val="en-US"/>
        </w:rPr>
        <w:fldChar w:fldCharType="separate"/>
      </w:r>
      <w:r w:rsidR="00372CDC" w:rsidRPr="00372CDC">
        <w:rPr>
          <w:rFonts w:eastAsia="Times New Roman"/>
          <w:noProof/>
          <w:color w:val="000000" w:themeColor="text1"/>
          <w:sz w:val="24"/>
          <w:szCs w:val="24"/>
          <w:lang w:val="en-US"/>
        </w:rPr>
        <w:t>(C. P. Hoffmann et al., 2016; van Schaik et al., 2018)</w:t>
      </w:r>
      <w:r w:rsidR="007C3CC4" w:rsidRPr="00A0773D">
        <w:rPr>
          <w:rFonts w:eastAsia="Times New Roman"/>
          <w:color w:val="000000" w:themeColor="text1"/>
          <w:sz w:val="24"/>
          <w:szCs w:val="24"/>
          <w:lang w:val="en-US"/>
        </w:rPr>
        <w:fldChar w:fldCharType="end"/>
      </w:r>
      <w:r w:rsidRPr="00A0773D">
        <w:rPr>
          <w:rFonts w:eastAsia="Times New Roman"/>
          <w:color w:val="000000" w:themeColor="text1"/>
          <w:sz w:val="24"/>
          <w:szCs w:val="24"/>
        </w:rPr>
        <w:t xml:space="preserve">. Nevertheless, there is limited knowledge regarding privacy cynicism and how it affects customer happiness and trust in e-commerce. </w:t>
      </w:r>
      <w:r w:rsidR="007C3CC4" w:rsidRPr="00A0773D">
        <w:rPr>
          <w:rFonts w:eastAsia="Times New Roman"/>
          <w:color w:val="000000" w:themeColor="text1"/>
          <w:sz w:val="24"/>
          <w:szCs w:val="24"/>
        </w:rPr>
        <w:t>Based on the above background, this study aims to analy</w:t>
      </w:r>
      <w:r w:rsidR="00BB2FA6">
        <w:rPr>
          <w:rFonts w:eastAsia="Times New Roman"/>
          <w:color w:val="000000" w:themeColor="text1"/>
          <w:sz w:val="24"/>
          <w:szCs w:val="24"/>
        </w:rPr>
        <w:t>s</w:t>
      </w:r>
      <w:r w:rsidR="007C3CC4" w:rsidRPr="00A0773D">
        <w:rPr>
          <w:rFonts w:eastAsia="Times New Roman"/>
          <w:color w:val="000000" w:themeColor="text1"/>
          <w:sz w:val="24"/>
          <w:szCs w:val="24"/>
        </w:rPr>
        <w:t>e privacy cynicism and confirmatory expectations on e-commerce user satisfaction through perceived usefulness and trust in e-commerce platforms caused by data leakage.</w:t>
      </w:r>
    </w:p>
    <w:p w14:paraId="3A19E660" w14:textId="39D9DAC6" w:rsidR="00E31239" w:rsidRPr="00E31239" w:rsidRDefault="00E31239" w:rsidP="00683BE0">
      <w:pPr>
        <w:pStyle w:val="Heading1"/>
      </w:pPr>
      <w:r>
        <w:t xml:space="preserve">Literature </w:t>
      </w:r>
      <w:r w:rsidRPr="00683BE0">
        <w:t>review</w:t>
      </w:r>
    </w:p>
    <w:p w14:paraId="3E2C0458" w14:textId="1CB69D28" w:rsidR="00495FCF" w:rsidRDefault="00495FCF" w:rsidP="00A51C04">
      <w:pPr>
        <w:pStyle w:val="Heading2"/>
        <w:spacing w:after="0"/>
      </w:pPr>
      <w:r w:rsidRPr="00191B72">
        <w:t>Expectation-Confirmation Model</w:t>
      </w:r>
    </w:p>
    <w:p w14:paraId="5EFF6EE5" w14:textId="0C6401FD" w:rsidR="00191B72" w:rsidRPr="006D5C07" w:rsidRDefault="00191B72" w:rsidP="006D5C07">
      <w:pPr>
        <w:spacing w:after="0" w:line="240" w:lineRule="auto"/>
        <w:ind w:firstLine="284"/>
        <w:jc w:val="both"/>
        <w:rPr>
          <w:rFonts w:ascii="Times New Roman" w:eastAsia="Times New Roman" w:hAnsi="Times New Roman" w:cs="Times New Roman"/>
          <w:sz w:val="24"/>
          <w:szCs w:val="24"/>
        </w:rPr>
      </w:pPr>
      <w:r w:rsidRPr="00191B72">
        <w:rPr>
          <w:rFonts w:ascii="Times New Roman" w:eastAsia="Times New Roman" w:hAnsi="Times New Roman" w:cs="Times New Roman"/>
          <w:sz w:val="24"/>
          <w:szCs w:val="24"/>
        </w:rPr>
        <w:t>The present study is based on the Expectation-Confirmation Model (ECM), which is a psychological approach.</w:t>
      </w:r>
      <w:r w:rsidR="00A8323C">
        <w:rPr>
          <w:rFonts w:ascii="Times New Roman" w:eastAsia="Times New Roman" w:hAnsi="Times New Roman" w:cs="Times New Roman"/>
          <w:sz w:val="24"/>
          <w:szCs w:val="24"/>
        </w:rPr>
        <w:t xml:space="preserve"> </w:t>
      </w:r>
      <w:r w:rsidR="00A8323C" w:rsidRPr="00A8323C">
        <w:rPr>
          <w:rFonts w:ascii="Times New Roman" w:eastAsia="Times New Roman" w:hAnsi="Times New Roman" w:cs="Times New Roman"/>
          <w:sz w:val="24"/>
          <w:szCs w:val="24"/>
        </w:rPr>
        <w:t>ECM is a framework derived from expectation-confirmation theory in the context of technology acceptance and user loyalty. The model was first proposed by</w:t>
      </w:r>
      <w:r w:rsidR="00A8323C">
        <w:rPr>
          <w:rFonts w:ascii="Times New Roman" w:eastAsia="Times New Roman" w:hAnsi="Times New Roman" w:cs="Times New Roman"/>
          <w:sz w:val="24"/>
          <w:szCs w:val="24"/>
        </w:rPr>
        <w:t xml:space="preserve"> </w:t>
      </w:r>
      <w:r w:rsidR="00A8323C">
        <w:rPr>
          <w:rFonts w:ascii="Times New Roman" w:eastAsia="Times New Roman" w:hAnsi="Times New Roman" w:cs="Times New Roman"/>
          <w:sz w:val="24"/>
          <w:szCs w:val="24"/>
        </w:rPr>
        <w:fldChar w:fldCharType="begin" w:fldLock="1"/>
      </w:r>
      <w:r w:rsidR="00372CDC">
        <w:rPr>
          <w:rFonts w:ascii="Times New Roman" w:eastAsia="Times New Roman" w:hAnsi="Times New Roman" w:cs="Times New Roman"/>
          <w:sz w:val="24"/>
          <w:szCs w:val="24"/>
        </w:rPr>
        <w:instrText>ADDIN CSL_CITATION {"citationItems":[{"id":"ITEM-1","itemData":{"DOI":"10.2307/3250921","ISSN":"02767783","author":[{"dropping-particle":"","family":"Bhattacherjee","given":"Anol","non-dropping-particle":"","parse-names":false,"suffix":""}],"container-title":"MIS Quarterly","id":"ITEM-1","issue":"3","issued":{"date-parts":[["2001","9"]]},"page":"351","title":"Understanding Information Systems Continuance: An Expectation-Confirmation Model","type":"article-journal","volume":"25"},"uris":["http://www.mendeley.com/documents/?uuid=fb5493f6-ea0a-4de9-aae8-c97f93425c1c"]}],"mendeley":{"formattedCitation":"(Bhattacherjee, 2001)","manualFormatting":"Bhattacherjee (2001)","plainTextFormattedCitation":"(Bhattacherjee, 2001)","previouslyFormattedCitation":"(Bhattacherjee, 2001)"},"properties":{"noteIndex":0},"schema":"https://github.com/citation-style-language/schema/raw/master/csl-citation.json"}</w:instrText>
      </w:r>
      <w:r w:rsidR="00A8323C">
        <w:rPr>
          <w:rFonts w:ascii="Times New Roman" w:eastAsia="Times New Roman" w:hAnsi="Times New Roman" w:cs="Times New Roman"/>
          <w:sz w:val="24"/>
          <w:szCs w:val="24"/>
        </w:rPr>
        <w:fldChar w:fldCharType="separate"/>
      </w:r>
      <w:r w:rsidR="00A8323C" w:rsidRPr="00A8323C">
        <w:rPr>
          <w:rFonts w:ascii="Times New Roman" w:eastAsia="Times New Roman" w:hAnsi="Times New Roman" w:cs="Times New Roman"/>
          <w:noProof/>
          <w:sz w:val="24"/>
          <w:szCs w:val="24"/>
        </w:rPr>
        <w:t xml:space="preserve">Bhattacherjee </w:t>
      </w:r>
      <w:r w:rsidR="00A8323C">
        <w:rPr>
          <w:rFonts w:ascii="Times New Roman" w:eastAsia="Times New Roman" w:hAnsi="Times New Roman" w:cs="Times New Roman"/>
          <w:noProof/>
          <w:sz w:val="24"/>
          <w:szCs w:val="24"/>
        </w:rPr>
        <w:t>(</w:t>
      </w:r>
      <w:r w:rsidR="00A8323C" w:rsidRPr="00A8323C">
        <w:rPr>
          <w:rFonts w:ascii="Times New Roman" w:eastAsia="Times New Roman" w:hAnsi="Times New Roman" w:cs="Times New Roman"/>
          <w:noProof/>
          <w:sz w:val="24"/>
          <w:szCs w:val="24"/>
        </w:rPr>
        <w:t>2001)</w:t>
      </w:r>
      <w:r w:rsidR="00A8323C">
        <w:rPr>
          <w:rFonts w:ascii="Times New Roman" w:eastAsia="Times New Roman" w:hAnsi="Times New Roman" w:cs="Times New Roman"/>
          <w:sz w:val="24"/>
          <w:szCs w:val="24"/>
        </w:rPr>
        <w:fldChar w:fldCharType="end"/>
      </w:r>
      <w:r w:rsidR="00A8323C" w:rsidRPr="00A8323C">
        <w:rPr>
          <w:rFonts w:ascii="Times New Roman" w:eastAsia="Times New Roman" w:hAnsi="Times New Roman" w:cs="Times New Roman"/>
          <w:sz w:val="24"/>
          <w:szCs w:val="24"/>
        </w:rPr>
        <w:t xml:space="preserve"> and is an adaptation of the Expectation-Confirmation Theory (ECT) used in consumer satisfaction studies. ECM proposes that user satisfaction with technology is influenced by the level of fulfi</w:t>
      </w:r>
      <w:r w:rsidR="00372CDC">
        <w:rPr>
          <w:rFonts w:ascii="Times New Roman" w:eastAsia="Times New Roman" w:hAnsi="Times New Roman" w:cs="Times New Roman"/>
          <w:sz w:val="24"/>
          <w:szCs w:val="24"/>
        </w:rPr>
        <w:t>l</w:t>
      </w:r>
      <w:r w:rsidR="00A8323C" w:rsidRPr="00A8323C">
        <w:rPr>
          <w:rFonts w:ascii="Times New Roman" w:eastAsia="Times New Roman" w:hAnsi="Times New Roman" w:cs="Times New Roman"/>
          <w:sz w:val="24"/>
          <w:szCs w:val="24"/>
        </w:rPr>
        <w:t>lment of the user</w:t>
      </w:r>
      <w:r w:rsidR="002E6C2A">
        <w:rPr>
          <w:rFonts w:ascii="Times New Roman" w:eastAsia="Times New Roman" w:hAnsi="Times New Roman" w:cs="Times New Roman"/>
          <w:sz w:val="24"/>
          <w:szCs w:val="24"/>
        </w:rPr>
        <w:t>'</w:t>
      </w:r>
      <w:r w:rsidR="00A8323C" w:rsidRPr="00A8323C">
        <w:rPr>
          <w:rFonts w:ascii="Times New Roman" w:eastAsia="Times New Roman" w:hAnsi="Times New Roman" w:cs="Times New Roman"/>
          <w:sz w:val="24"/>
          <w:szCs w:val="24"/>
        </w:rPr>
        <w:t xml:space="preserve">s initial expectations and confirmation of these expectations after using the technology. </w:t>
      </w:r>
      <w:r w:rsidR="00D32E59">
        <w:rPr>
          <w:rFonts w:ascii="Times New Roman" w:eastAsia="Times New Roman" w:hAnsi="Times New Roman" w:cs="Times New Roman"/>
          <w:sz w:val="24"/>
          <w:szCs w:val="24"/>
        </w:rPr>
        <w:t>Suppose users</w:t>
      </w:r>
      <w:r w:rsidR="002E6C2A">
        <w:rPr>
          <w:rFonts w:ascii="Times New Roman" w:eastAsia="Times New Roman" w:hAnsi="Times New Roman" w:cs="Times New Roman"/>
          <w:sz w:val="24"/>
          <w:szCs w:val="24"/>
        </w:rPr>
        <w:t>'</w:t>
      </w:r>
      <w:r w:rsidR="00D32E59">
        <w:rPr>
          <w:rFonts w:ascii="Times New Roman" w:eastAsia="Times New Roman" w:hAnsi="Times New Roman" w:cs="Times New Roman"/>
          <w:sz w:val="24"/>
          <w:szCs w:val="24"/>
        </w:rPr>
        <w:t xml:space="preserve"> experiences match or exceed their expectations. In that case,</w:t>
      </w:r>
      <w:r w:rsidR="00A8323C" w:rsidRPr="00A8323C">
        <w:rPr>
          <w:rFonts w:ascii="Times New Roman" w:eastAsia="Times New Roman" w:hAnsi="Times New Roman" w:cs="Times New Roman"/>
          <w:sz w:val="24"/>
          <w:szCs w:val="24"/>
        </w:rPr>
        <w:t xml:space="preserve"> this will lead to higher levels of satisfaction, </w:t>
      </w:r>
      <w:r w:rsidR="00D32E59">
        <w:rPr>
          <w:rFonts w:ascii="Times New Roman" w:eastAsia="Times New Roman" w:hAnsi="Times New Roman" w:cs="Times New Roman"/>
          <w:sz w:val="24"/>
          <w:szCs w:val="24"/>
        </w:rPr>
        <w:t>increasing</w:t>
      </w:r>
      <w:r w:rsidR="00A8323C" w:rsidRPr="00A8323C">
        <w:rPr>
          <w:rFonts w:ascii="Times New Roman" w:eastAsia="Times New Roman" w:hAnsi="Times New Roman" w:cs="Times New Roman"/>
          <w:sz w:val="24"/>
          <w:szCs w:val="24"/>
        </w:rPr>
        <w:t xml:space="preserve"> the likelihood of continued use </w:t>
      </w:r>
      <w:r w:rsidR="00A8323C" w:rsidRPr="006D5C07">
        <w:rPr>
          <w:rFonts w:ascii="Times New Roman" w:eastAsia="Times New Roman" w:hAnsi="Times New Roman" w:cs="Times New Roman"/>
          <w:sz w:val="24"/>
          <w:szCs w:val="24"/>
        </w:rPr>
        <w:t xml:space="preserve">of the technology. This model is </w:t>
      </w:r>
      <w:r w:rsidR="008F2FF4" w:rsidRPr="006D5C07">
        <w:rPr>
          <w:rFonts w:ascii="Times New Roman" w:eastAsia="Times New Roman" w:hAnsi="Times New Roman" w:cs="Times New Roman"/>
          <w:sz w:val="24"/>
          <w:szCs w:val="24"/>
        </w:rPr>
        <w:t>beneficia</w:t>
      </w:r>
      <w:r w:rsidR="00A8323C" w:rsidRPr="006D5C07">
        <w:rPr>
          <w:rFonts w:ascii="Times New Roman" w:eastAsia="Times New Roman" w:hAnsi="Times New Roman" w:cs="Times New Roman"/>
          <w:sz w:val="24"/>
          <w:szCs w:val="24"/>
        </w:rPr>
        <w:t>l for understanding how users</w:t>
      </w:r>
      <w:r w:rsidR="002E6C2A">
        <w:rPr>
          <w:rFonts w:ascii="Times New Roman" w:eastAsia="Times New Roman" w:hAnsi="Times New Roman" w:cs="Times New Roman"/>
          <w:sz w:val="24"/>
          <w:szCs w:val="24"/>
        </w:rPr>
        <w:t>'</w:t>
      </w:r>
      <w:r w:rsidR="00A8323C" w:rsidRPr="006D5C07">
        <w:rPr>
          <w:rFonts w:ascii="Times New Roman" w:eastAsia="Times New Roman" w:hAnsi="Times New Roman" w:cs="Times New Roman"/>
          <w:sz w:val="24"/>
          <w:szCs w:val="24"/>
        </w:rPr>
        <w:t xml:space="preserve"> initial experiences with technology can influence the adoption and long-term use.</w:t>
      </w:r>
    </w:p>
    <w:p w14:paraId="25CEF5D0" w14:textId="50925CAB" w:rsidR="006D5C07" w:rsidRPr="00234FFB" w:rsidRDefault="006D5C07" w:rsidP="00234FFB">
      <w:pPr>
        <w:spacing w:after="0" w:line="240" w:lineRule="auto"/>
        <w:ind w:firstLine="284"/>
        <w:jc w:val="both"/>
        <w:rPr>
          <w:rFonts w:ascii="Times New Roman" w:eastAsia="Times New Roman" w:hAnsi="Times New Roman" w:cs="Times New Roman"/>
          <w:sz w:val="24"/>
          <w:szCs w:val="24"/>
        </w:rPr>
      </w:pPr>
      <w:r w:rsidRPr="006D5C07">
        <w:rPr>
          <w:rFonts w:ascii="Times New Roman" w:hAnsi="Times New Roman" w:cs="Times New Roman"/>
          <w:sz w:val="24"/>
          <w:szCs w:val="24"/>
        </w:rPr>
        <w:t xml:space="preserve">Confirmation of expectations </w:t>
      </w:r>
      <w:r>
        <w:rPr>
          <w:rFonts w:ascii="Times New Roman" w:hAnsi="Times New Roman" w:cs="Times New Roman"/>
          <w:sz w:val="24"/>
          <w:szCs w:val="24"/>
        </w:rPr>
        <w:t xml:space="preserve">(utilitarian values, social values, continuance intention) </w:t>
      </w:r>
      <w:r w:rsidRPr="006D5C07">
        <w:rPr>
          <w:rFonts w:ascii="Times New Roman" w:hAnsi="Times New Roman" w:cs="Times New Roman"/>
          <w:sz w:val="24"/>
          <w:szCs w:val="24"/>
        </w:rPr>
        <w:t xml:space="preserve">by </w:t>
      </w:r>
      <w:r>
        <w:rPr>
          <w:rFonts w:ascii="Times New Roman" w:hAnsi="Times New Roman" w:cs="Times New Roman"/>
          <w:sz w:val="24"/>
          <w:szCs w:val="24"/>
        </w:rPr>
        <w:fldChar w:fldCharType="begin" w:fldLock="1"/>
      </w:r>
      <w:r w:rsidR="00372CDC">
        <w:rPr>
          <w:rFonts w:ascii="Times New Roman" w:hAnsi="Times New Roman" w:cs="Times New Roman"/>
          <w:sz w:val="24"/>
          <w:szCs w:val="24"/>
        </w:rPr>
        <w:instrText>ADDIN CSL_CITATION {"citationItems":[{"id":"ITEM-1","itemData":{"DOI":"10.2307/3250921","ISSN":"02767783","author":[{"dropping-particle":"","family":"Bhattacherjee","given":"Anol","non-dropping-particle":"","parse-names":false,"suffix":""}],"container-title":"MIS Quarterly","id":"ITEM-1","issue":"3","issued":{"date-parts":[["2001","9"]]},"page":"351","title":"Understanding Information Systems Continuance: An Expectation-Confirmation Model","type":"article-journal","volume":"25"},"uris":["http://www.mendeley.com/documents/?uuid=fb5493f6-ea0a-4de9-aae8-c97f93425c1c"]}],"mendeley":{"formattedCitation":"(Bhattacherjee, 2001)","manualFormatting":"Bhattacherjee (2001)","plainTextFormattedCitation":"(Bhattacherjee, 2001)","previouslyFormattedCitation":"(Bhattacherjee, 2001)"},"properties":{"noteIndex":0},"schema":"https://github.com/citation-style-language/schema/raw/master/csl-citation.json"}</w:instrText>
      </w:r>
      <w:r>
        <w:rPr>
          <w:rFonts w:ascii="Times New Roman" w:hAnsi="Times New Roman" w:cs="Times New Roman"/>
          <w:sz w:val="24"/>
          <w:szCs w:val="24"/>
        </w:rPr>
        <w:fldChar w:fldCharType="separate"/>
      </w:r>
      <w:r w:rsidRPr="006D5C07">
        <w:rPr>
          <w:rFonts w:ascii="Times New Roman" w:hAnsi="Times New Roman" w:cs="Times New Roman"/>
          <w:noProof/>
          <w:sz w:val="24"/>
          <w:szCs w:val="24"/>
        </w:rPr>
        <w:t xml:space="preserve">Bhattacherjee </w:t>
      </w:r>
      <w:r>
        <w:rPr>
          <w:rFonts w:ascii="Times New Roman" w:hAnsi="Times New Roman" w:cs="Times New Roman"/>
          <w:noProof/>
          <w:sz w:val="24"/>
          <w:szCs w:val="24"/>
        </w:rPr>
        <w:t>(</w:t>
      </w:r>
      <w:r w:rsidRPr="006D5C07">
        <w:rPr>
          <w:rFonts w:ascii="Times New Roman" w:hAnsi="Times New Roman" w:cs="Times New Roman"/>
          <w:noProof/>
          <w:sz w:val="24"/>
          <w:szCs w:val="24"/>
        </w:rPr>
        <w:t>2001)</w:t>
      </w:r>
      <w:r>
        <w:rPr>
          <w:rFonts w:ascii="Times New Roman" w:hAnsi="Times New Roman" w:cs="Times New Roman"/>
          <w:sz w:val="24"/>
          <w:szCs w:val="24"/>
        </w:rPr>
        <w:fldChar w:fldCharType="end"/>
      </w:r>
      <w:r w:rsidRPr="006D5C07">
        <w:rPr>
          <w:rFonts w:ascii="Times New Roman" w:hAnsi="Times New Roman" w:cs="Times New Roman"/>
          <w:sz w:val="24"/>
          <w:szCs w:val="24"/>
        </w:rPr>
        <w:t xml:space="preserve"> plays a crucial role in understanding continuance intention towards a particular service or product.</w:t>
      </w:r>
      <w:r>
        <w:rPr>
          <w:rFonts w:ascii="Times New Roman" w:eastAsia="Times New Roman" w:hAnsi="Times New Roman" w:cs="Times New Roman"/>
          <w:sz w:val="24"/>
          <w:szCs w:val="24"/>
        </w:rPr>
        <w:t xml:space="preserve"> </w:t>
      </w:r>
      <w:r w:rsidRPr="006D5C07">
        <w:rPr>
          <w:rFonts w:ascii="Times New Roman" w:eastAsia="Times New Roman" w:hAnsi="Times New Roman" w:cs="Times New Roman"/>
          <w:sz w:val="24"/>
          <w:szCs w:val="24"/>
        </w:rPr>
        <w:t xml:space="preserve">Research has consistently shown that confirmation </w:t>
      </w:r>
      <w:r w:rsidR="00690781">
        <w:rPr>
          <w:rFonts w:ascii="Times New Roman" w:eastAsia="Times New Roman" w:hAnsi="Times New Roman" w:cs="Times New Roman"/>
          <w:sz w:val="24"/>
          <w:szCs w:val="24"/>
        </w:rPr>
        <w:t>positively influences</w:t>
      </w:r>
      <w:r w:rsidRPr="006D5C07">
        <w:rPr>
          <w:rFonts w:ascii="Times New Roman" w:eastAsia="Times New Roman" w:hAnsi="Times New Roman" w:cs="Times New Roman"/>
          <w:sz w:val="24"/>
          <w:szCs w:val="24"/>
        </w:rPr>
        <w:t xml:space="preserve"> perceived usefulness </w:t>
      </w:r>
      <w:r>
        <w:rPr>
          <w:rFonts w:ascii="Times New Roman" w:eastAsia="Times New Roman" w:hAnsi="Times New Roman" w:cs="Times New Roman"/>
          <w:sz w:val="24"/>
          <w:szCs w:val="24"/>
        </w:rPr>
        <w:fldChar w:fldCharType="begin" w:fldLock="1"/>
      </w:r>
      <w:r w:rsidR="00372CDC">
        <w:rPr>
          <w:rFonts w:ascii="Times New Roman" w:eastAsia="Times New Roman" w:hAnsi="Times New Roman" w:cs="Times New Roman"/>
          <w:sz w:val="24"/>
          <w:szCs w:val="24"/>
        </w:rPr>
        <w:instrText>ADDIN CSL_CITATION {"citationItems":[{"id":"ITEM-1","itemData":{"DOI":"10.21511/im.16(2).2020.02","abstract":"Given the negative utilitarianism and difficulty in maintaining long-term loyalty, hospitals resort to a variety of images that define and redefine their relationship strategies in order to stay patient-centric. As in any other sector, in healthcare, patients play an important role in service design and delivery. The basic services of medical appointment scheduling, online payment and health information search are recognized as one of the most important elements that increase patient footfall, service planning, patient satisfaction and their continued usage, in particular in developing economies such as India. This study seeks to understanding the basic e-Health services continuance usage intention among patients by integrating the Expectation Confirmation Model (ECM) and the Technology Acceptance Model (TAM) and extending them by including certain external variables. With a well-structured questionnaire, a survey of 453 respondents – out-patients and care-givers, who should have used e-Health services at least once, in particular, visited multispecialty hospitals, revealed that along with the ECM and TAM constructs such as satisfaction, confirmation, perceived ease-of-use, and perceived usefulness, the external variables such as trust, social influence, perceived service quality, and perceived privacy and security had a significant influence (p &amp;amp;amp;lt; 0.05) on e-Health services continuance usage. The main findings of the study contribute to developing and empirically testing a model that explains the basic process of motivating the e-Health service users for continuance usage intention.","author":[{"dropping-particle":"","family":"Kumar","given":"Kaushal","non-dropping-particle":"","parse-names":false,"suffix":""},{"dropping-particle":"","family":"Natarajan","given":"Subhashree","non-dropping-particle":"","parse-names":false,"suffix":""}],"container-title":"Innovative Marketing","id":"ITEM-1","issued":{"date-parts":[["2020"]]},"title":"An Extension of the Expectation Confirmation Model (ECM) to Study Continuance Behavior in Using E-Health Services","type":"article-journal"},"uris":["http://www.mendeley.com/documents/?uuid=451887ca-c07c-47c5-8d55-35d3d917007b"]},{"id":"ITEM-2","itemData":{"DOI":"10.1080/23311975.2021.1980248","abstract":"With the rapid growth and intense competition of the mobile commerce market, mobile vendors consider retaining current users and facilitating them to continue shopping as vital to sustain profitability and development. This study investigates the influence of trust and perceived usefulness on continuance intention to use mobile shopping, mediated by user adaptation. This study was based on an extended expectation-confirmation model (ECM) by incorporating trust and user adaptation. A questionnaire-based survey was designed to gather data from 445 mobile shoppers in Vietnam using face-to-face interview. Structural equation modelling analysis was applied to validate the hypothesised model. Our results revealed that all relationships, except for the direct relationship between trust and continuance intention significantly affect continuance intention. In addition, user adaptation is verified to mediate fully the relationship between trust and continuance intention. Our work is the first study to extend ECM by integrating trust and user adaptation in an integral way to advance our understanding of how mobile","author":[{"dropping-particle":"","family":"Nguyen","given":"Giang-Do","non-dropping-particle":"","parse-names":false,"suffix":""},{"dropping-particle":"","family":"Ha","given":"Minh Tri","non-dropping-particle":"","parse-names":false,"suffix":""}],"container-title":"Cogent Business &amp;Amp; Management","id":"ITEM-2","issued":{"date-parts":[["2021"]]},"title":"The Role of User Adaptation and Trust in Understanding Continuance Intention Towards Mobile Shopping: An Extended Expectation-Confirmation Model","type":"article-journal"},"uris":["http://www.mendeley.com/documents/?uuid=5793bd1c-b4d1-4085-a799-b444f9574b4f"]},{"id":"ITEM-3","itemData":{"DOI":"10.3389/fpsyg.2022.984931","abstract":"E-wallet is one of the latest innovations in the field of payments. However, despite numerous studies on the adoption of e-finance systems, the post-adoption phase is largely neglected. In this paper, we use the extended Expectation Confirmation Model (ECM) to address this gap by focusing on the study of consumers’ continuous intentions regarding the use of an e-wallet service. We conducted an electronic questionnaire-based survey among 503 e-wallet users in Palestine. Using structural equation modeling to analyze the conceptual model of the study, our results confirm that satisfaction, trust, and perceived usefulness have a significant impact on consumers’ continuous intention regarding e-wallet. In addition, the study found that perceived security has an insignificant impact on consumer satisfaction. The study has several implications: E-wallet providers should improve their services in terms of performance, privacy, and security to ensure customer loyalty in this competitive industry.","author":[{"dropping-particle":"","family":"Daragmeh","given":"Ahmad","non-dropping-particle":"","parse-names":false,"suffix":""},{"dropping-particle":"","family":"Saleem","given":"Adil","non-dropping-particle":"","parse-names":false,"suffix":""},{"dropping-particle":"","family":"Bárczi","given":"Judit","non-dropping-particle":"","parse-names":false,"suffix":""},{"dropping-particle":"","family":"Sági","given":"Judit","non-dropping-particle":"","parse-names":false,"suffix":""}],"container-title":"Frontiers in Psychology","id":"ITEM-3","issued":{"date-parts":[["2022"]]},"title":"Drivers of Post-Adoption of E-Wallet Among Academics in Palestine: An Extension of the Expectation Confirmation Model","type":"article-journal"},"uris":["http://www.mendeley.com/documents/?uuid=0dbda96c-eb55-4bc4-8ed5-c2ce1afb212a"]}],"mendeley":{"formattedCitation":"(Daragmeh et al., 2022; Kumar &amp; Natarajan, 2020; Nguyen &amp; Ha, 2021)","plainTextFormattedCitation":"(Daragmeh et al., 2022; Kumar &amp; Natarajan, 2020; Nguyen &amp; Ha, 2021)","previouslyFormattedCitation":"(Daragmeh et al., 2022; Kumar &amp; Natarajan, 2020; Nguyen &amp; Ha, 2021)"},"properties":{"noteIndex":0},"schema":"https://github.com/citation-style-language/schema/raw/master/csl-citation.json"}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372CDC" w:rsidRPr="00372CDC">
        <w:rPr>
          <w:rFonts w:ascii="Times New Roman" w:eastAsia="Times New Roman" w:hAnsi="Times New Roman" w:cs="Times New Roman"/>
          <w:noProof/>
          <w:sz w:val="24"/>
          <w:szCs w:val="24"/>
        </w:rPr>
        <w:t>(Daragmeh et al., 2022; Kumar &amp; Natarajan, 2020; Nguyen &amp; Ha, 2021)</w:t>
      </w:r>
      <w:r>
        <w:rPr>
          <w:rFonts w:ascii="Times New Roman" w:eastAsia="Times New Roman" w:hAnsi="Times New Roman" w:cs="Times New Roman"/>
          <w:sz w:val="24"/>
          <w:szCs w:val="24"/>
        </w:rPr>
        <w:fldChar w:fldCharType="end"/>
      </w:r>
      <w:r w:rsidRPr="006D5C07">
        <w:rPr>
          <w:rFonts w:ascii="Times New Roman" w:eastAsia="Times New Roman" w:hAnsi="Times New Roman" w:cs="Times New Roman"/>
          <w:sz w:val="24"/>
          <w:szCs w:val="24"/>
        </w:rPr>
        <w:t>. When users</w:t>
      </w:r>
      <w:r w:rsidR="002E6C2A">
        <w:rPr>
          <w:rFonts w:ascii="Times New Roman" w:eastAsia="Times New Roman" w:hAnsi="Times New Roman" w:cs="Times New Roman"/>
          <w:sz w:val="24"/>
          <w:szCs w:val="24"/>
        </w:rPr>
        <w:t>'</w:t>
      </w:r>
      <w:r w:rsidRPr="006D5C07">
        <w:rPr>
          <w:rFonts w:ascii="Times New Roman" w:eastAsia="Times New Roman" w:hAnsi="Times New Roman" w:cs="Times New Roman"/>
          <w:sz w:val="24"/>
          <w:szCs w:val="24"/>
        </w:rPr>
        <w:t xml:space="preserve"> experiences confirm their initial expectations, they are more likely to perceive the product or service as </w:t>
      </w:r>
      <w:r w:rsidR="00690781">
        <w:rPr>
          <w:rFonts w:ascii="Times New Roman" w:eastAsia="Times New Roman" w:hAnsi="Times New Roman" w:cs="Times New Roman"/>
          <w:sz w:val="24"/>
          <w:szCs w:val="24"/>
        </w:rPr>
        <w:t>valuable</w:t>
      </w:r>
      <w:r w:rsidRPr="006D5C07">
        <w:rPr>
          <w:rFonts w:ascii="Times New Roman" w:eastAsia="Times New Roman" w:hAnsi="Times New Roman" w:cs="Times New Roman"/>
          <w:sz w:val="24"/>
          <w:szCs w:val="24"/>
        </w:rPr>
        <w:t xml:space="preserve"> and satisfying.</w:t>
      </w:r>
      <w:r>
        <w:rPr>
          <w:rFonts w:ascii="Times New Roman" w:eastAsia="Times New Roman" w:hAnsi="Times New Roman" w:cs="Times New Roman"/>
          <w:sz w:val="24"/>
          <w:szCs w:val="24"/>
        </w:rPr>
        <w:t xml:space="preserve"> </w:t>
      </w:r>
      <w:r w:rsidRPr="006D5C07">
        <w:rPr>
          <w:rFonts w:ascii="Times New Roman" w:hAnsi="Times New Roman" w:cs="Times New Roman"/>
          <w:sz w:val="24"/>
          <w:szCs w:val="24"/>
        </w:rPr>
        <w:t>Satisfaction</w:t>
      </w:r>
      <w:r>
        <w:rPr>
          <w:rFonts w:ascii="Times New Roman" w:hAnsi="Times New Roman" w:cs="Times New Roman"/>
          <w:sz w:val="24"/>
          <w:szCs w:val="24"/>
        </w:rPr>
        <w:t xml:space="preserve"> (perceived usefulness, perceived ease of use, confirmation of expectations)</w:t>
      </w:r>
      <w:r w:rsidRPr="006D5C07">
        <w:rPr>
          <w:rFonts w:ascii="Times New Roman" w:hAnsi="Times New Roman" w:cs="Times New Roman"/>
          <w:sz w:val="24"/>
          <w:szCs w:val="24"/>
        </w:rPr>
        <w:t xml:space="preserve"> is </w:t>
      </w:r>
      <w:r w:rsidR="00690781">
        <w:rPr>
          <w:rFonts w:ascii="Times New Roman" w:hAnsi="Times New Roman" w:cs="Times New Roman"/>
          <w:sz w:val="24"/>
          <w:szCs w:val="24"/>
        </w:rPr>
        <w:t>crucial</w:t>
      </w:r>
      <w:r w:rsidRPr="006D5C07">
        <w:rPr>
          <w:rFonts w:ascii="Times New Roman" w:hAnsi="Times New Roman" w:cs="Times New Roman"/>
          <w:sz w:val="24"/>
          <w:szCs w:val="24"/>
        </w:rPr>
        <w:t xml:space="preserve"> in understanding </w:t>
      </w:r>
      <w:r w:rsidRPr="00234FFB">
        <w:rPr>
          <w:rFonts w:ascii="Times New Roman" w:hAnsi="Times New Roman" w:cs="Times New Roman"/>
          <w:sz w:val="24"/>
          <w:szCs w:val="24"/>
        </w:rPr>
        <w:t xml:space="preserve">continuance intention towards a particular service or product </w:t>
      </w:r>
      <w:r w:rsidRPr="00234FFB">
        <w:rPr>
          <w:rFonts w:ascii="Times New Roman" w:hAnsi="Times New Roman" w:cs="Times New Roman"/>
          <w:sz w:val="24"/>
          <w:szCs w:val="24"/>
        </w:rPr>
        <w:fldChar w:fldCharType="begin" w:fldLock="1"/>
      </w:r>
      <w:r w:rsidR="00372CDC" w:rsidRPr="00234FFB">
        <w:rPr>
          <w:rFonts w:ascii="Times New Roman" w:hAnsi="Times New Roman" w:cs="Times New Roman"/>
          <w:sz w:val="24"/>
          <w:szCs w:val="24"/>
        </w:rPr>
        <w:instrText>ADDIN CSL_CITATION {"citationItems":[{"id":"ITEM-1","itemData":{"DOI":"10.2307/3250921","ISSN":"02767783","author":[{"dropping-particle":"","family":"Bhattacherjee","given":"Anol","non-dropping-particle":"","parse-names":false,"suffix":""}],"container-title":"MIS Quarterly","id":"ITEM-1","issue":"3","issued":{"date-parts":[["2001","9"]]},"page":"351","title":"Understanding Information Systems Continuance: An Expectation-Confirmation Model","type":"article-journal","volume":"25"},"uris":["http://www.mendeley.com/documents/?uuid=fb5493f6-ea0a-4de9-aae8-c97f93425c1c"]}],"mendeley":{"formattedCitation":"(Bhattacherjee, 2001)","plainTextFormattedCitation":"(Bhattacherjee, 2001)","previouslyFormattedCitation":"(Bhattacherjee, 2001)"},"properties":{"noteIndex":0},"schema":"https://github.com/citation-style-language/schema/raw/master/csl-citation.json"}</w:instrText>
      </w:r>
      <w:r w:rsidRPr="00234FFB">
        <w:rPr>
          <w:rFonts w:ascii="Times New Roman" w:hAnsi="Times New Roman" w:cs="Times New Roman"/>
          <w:sz w:val="24"/>
          <w:szCs w:val="24"/>
        </w:rPr>
        <w:fldChar w:fldCharType="separate"/>
      </w:r>
      <w:r w:rsidR="00372CDC" w:rsidRPr="00234FFB">
        <w:rPr>
          <w:rFonts w:ascii="Times New Roman" w:hAnsi="Times New Roman" w:cs="Times New Roman"/>
          <w:noProof/>
          <w:sz w:val="24"/>
          <w:szCs w:val="24"/>
        </w:rPr>
        <w:t>(Bhattacherjee, 2001)</w:t>
      </w:r>
      <w:r w:rsidRPr="00234FFB">
        <w:rPr>
          <w:rFonts w:ascii="Times New Roman" w:hAnsi="Times New Roman" w:cs="Times New Roman"/>
          <w:sz w:val="24"/>
          <w:szCs w:val="24"/>
        </w:rPr>
        <w:fldChar w:fldCharType="end"/>
      </w:r>
      <w:r w:rsidRPr="00234FFB">
        <w:rPr>
          <w:rFonts w:ascii="Times New Roman" w:hAnsi="Times New Roman" w:cs="Times New Roman"/>
          <w:sz w:val="24"/>
          <w:szCs w:val="24"/>
        </w:rPr>
        <w:t xml:space="preserve">. </w:t>
      </w:r>
    </w:p>
    <w:p w14:paraId="44E9513A" w14:textId="70FAE36D" w:rsidR="006D5C07" w:rsidRPr="00234FFB" w:rsidRDefault="006D5C07" w:rsidP="00234FFB">
      <w:pPr>
        <w:spacing w:after="0" w:line="240" w:lineRule="auto"/>
        <w:ind w:firstLine="360"/>
        <w:jc w:val="both"/>
        <w:rPr>
          <w:rFonts w:ascii="Times New Roman" w:hAnsi="Times New Roman" w:cs="Times New Roman"/>
          <w:sz w:val="24"/>
          <w:szCs w:val="24"/>
        </w:rPr>
      </w:pPr>
      <w:r w:rsidRPr="00234FFB">
        <w:rPr>
          <w:rFonts w:ascii="Times New Roman" w:hAnsi="Times New Roman" w:cs="Times New Roman"/>
          <w:sz w:val="24"/>
          <w:szCs w:val="24"/>
        </w:rPr>
        <w:t>Perceived Usefulness by</w:t>
      </w:r>
      <w:r w:rsidR="00372CDC" w:rsidRPr="00234FFB">
        <w:rPr>
          <w:rFonts w:ascii="Times New Roman" w:hAnsi="Times New Roman" w:cs="Times New Roman"/>
          <w:sz w:val="24"/>
          <w:szCs w:val="24"/>
        </w:rPr>
        <w:t xml:space="preserve"> </w:t>
      </w:r>
      <w:r w:rsidR="00372CDC" w:rsidRPr="00234FFB">
        <w:rPr>
          <w:rFonts w:ascii="Times New Roman" w:hAnsi="Times New Roman" w:cs="Times New Roman"/>
          <w:sz w:val="24"/>
          <w:szCs w:val="24"/>
        </w:rPr>
        <w:fldChar w:fldCharType="begin" w:fldLock="1"/>
      </w:r>
      <w:r w:rsidR="00372CDC" w:rsidRPr="00234FFB">
        <w:rPr>
          <w:rFonts w:ascii="Times New Roman" w:hAnsi="Times New Roman" w:cs="Times New Roman"/>
          <w:sz w:val="24"/>
          <w:szCs w:val="24"/>
        </w:rPr>
        <w:instrText>ADDIN CSL_CITATION {"citationItems":[{"id":"ITEM-1","itemData":{"DOI":"10.2307/249008","ISSN":"02767783","abstract":"Valid measurement scales for predicting user acceptance of computers are in short supply. Most subjective measures used in practice are unvalidated, and their relationship to system usage is unknown. The present research develops and vandales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 .98 for usefulness and .94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toy a parallel, direct determinant of system usage. Implications are drawn for future research on user acceptance.","author":[{"dropping-particle":"","family":"Davis","given":"Fred D.","non-dropping-particle":"","parse-names":false,"suffix":""}],"container-title":"MIS Quarterly: Management Information Systems","id":"ITEM-1","issue":"3","issued":{"date-parts":[["1989"]]},"page":"319-339","title":"Perceived usefulness, perceived ease of use, and user acceptance of information technology","type":"article-journal","volume":"13"},"uris":["http://www.mendeley.com/documents/?uuid=b10647ae-7061-4d07-9df5-b5359aa33f63"]}],"mendeley":{"formattedCitation":"(Davis, 1989)","manualFormatting":"Davis (1989)","plainTextFormattedCitation":"(Davis, 1989)","previouslyFormattedCitation":"(Davis, 1989)"},"properties":{"noteIndex":0},"schema":"https://github.com/citation-style-language/schema/raw/master/csl-citation.json"}</w:instrText>
      </w:r>
      <w:r w:rsidR="00372CDC" w:rsidRPr="00234FFB">
        <w:rPr>
          <w:rFonts w:ascii="Times New Roman" w:hAnsi="Times New Roman" w:cs="Times New Roman"/>
          <w:sz w:val="24"/>
          <w:szCs w:val="24"/>
        </w:rPr>
        <w:fldChar w:fldCharType="separate"/>
      </w:r>
      <w:r w:rsidR="00372CDC" w:rsidRPr="00234FFB">
        <w:rPr>
          <w:rFonts w:ascii="Times New Roman" w:hAnsi="Times New Roman" w:cs="Times New Roman"/>
          <w:noProof/>
          <w:sz w:val="24"/>
          <w:szCs w:val="24"/>
        </w:rPr>
        <w:t>Davis (1989)</w:t>
      </w:r>
      <w:r w:rsidR="00372CDC" w:rsidRPr="00234FFB">
        <w:rPr>
          <w:rFonts w:ascii="Times New Roman" w:hAnsi="Times New Roman" w:cs="Times New Roman"/>
          <w:sz w:val="24"/>
          <w:szCs w:val="24"/>
        </w:rPr>
        <w:fldChar w:fldCharType="end"/>
      </w:r>
      <w:r w:rsidRPr="00234FFB">
        <w:rPr>
          <w:rFonts w:ascii="Times New Roman" w:hAnsi="Times New Roman" w:cs="Times New Roman"/>
          <w:sz w:val="24"/>
          <w:szCs w:val="24"/>
        </w:rPr>
        <w:t xml:space="preserve"> </w:t>
      </w:r>
      <w:r w:rsidR="00372CDC" w:rsidRPr="00234FFB">
        <w:rPr>
          <w:rFonts w:ascii="Times New Roman" w:hAnsi="Times New Roman" w:cs="Times New Roman"/>
          <w:sz w:val="24"/>
          <w:szCs w:val="24"/>
        </w:rPr>
        <w:t>i</w:t>
      </w:r>
      <w:r w:rsidRPr="00234FFB">
        <w:rPr>
          <w:rFonts w:ascii="Times New Roman" w:hAnsi="Times New Roman" w:cs="Times New Roman"/>
          <w:sz w:val="24"/>
          <w:szCs w:val="24"/>
        </w:rPr>
        <w:t>s the degree to which an individual believes that using a particular technology would be beneficial</w:t>
      </w:r>
      <w:r w:rsidR="00372CDC" w:rsidRPr="00234FFB">
        <w:rPr>
          <w:rFonts w:ascii="Times New Roman" w:hAnsi="Times New Roman" w:cs="Times New Roman"/>
          <w:sz w:val="24"/>
          <w:szCs w:val="24"/>
        </w:rPr>
        <w:t>, which can be measured by knowing w</w:t>
      </w:r>
      <w:r w:rsidRPr="00234FFB">
        <w:rPr>
          <w:rFonts w:ascii="Times New Roman" w:hAnsi="Times New Roman" w:cs="Times New Roman"/>
          <w:sz w:val="24"/>
          <w:szCs w:val="24"/>
        </w:rPr>
        <w:t xml:space="preserve">hen </w:t>
      </w:r>
      <w:r w:rsidR="00372CDC" w:rsidRPr="00234FFB">
        <w:rPr>
          <w:rFonts w:ascii="Times New Roman" w:hAnsi="Times New Roman" w:cs="Times New Roman"/>
          <w:sz w:val="24"/>
          <w:szCs w:val="24"/>
        </w:rPr>
        <w:t xml:space="preserve">it is </w:t>
      </w:r>
      <w:r w:rsidRPr="00234FFB">
        <w:rPr>
          <w:rFonts w:ascii="Times New Roman" w:hAnsi="Times New Roman" w:cs="Times New Roman"/>
          <w:sz w:val="24"/>
          <w:szCs w:val="24"/>
        </w:rPr>
        <w:t>operational</w:t>
      </w:r>
      <w:r w:rsidR="00372CDC" w:rsidRPr="00234FFB">
        <w:rPr>
          <w:rFonts w:ascii="Times New Roman" w:hAnsi="Times New Roman" w:cs="Times New Roman"/>
          <w:sz w:val="24"/>
          <w:szCs w:val="24"/>
        </w:rPr>
        <w:t>, e</w:t>
      </w:r>
      <w:r w:rsidRPr="00234FFB">
        <w:rPr>
          <w:rFonts w:ascii="Times New Roman" w:hAnsi="Times New Roman" w:cs="Times New Roman"/>
          <w:sz w:val="24"/>
          <w:szCs w:val="24"/>
        </w:rPr>
        <w:t>ase of operation</w:t>
      </w:r>
      <w:r w:rsidR="00372CDC" w:rsidRPr="00234FFB">
        <w:rPr>
          <w:rFonts w:ascii="Times New Roman" w:hAnsi="Times New Roman" w:cs="Times New Roman"/>
          <w:sz w:val="24"/>
          <w:szCs w:val="24"/>
        </w:rPr>
        <w:t>, e</w:t>
      </w:r>
      <w:r w:rsidRPr="00234FFB">
        <w:rPr>
          <w:rFonts w:ascii="Times New Roman" w:hAnsi="Times New Roman" w:cs="Times New Roman"/>
          <w:sz w:val="24"/>
          <w:szCs w:val="24"/>
        </w:rPr>
        <w:t>ase of remembering operation</w:t>
      </w:r>
      <w:r w:rsidR="00372CDC" w:rsidRPr="00234FFB">
        <w:rPr>
          <w:rFonts w:ascii="Times New Roman" w:hAnsi="Times New Roman" w:cs="Times New Roman"/>
          <w:sz w:val="24"/>
          <w:szCs w:val="24"/>
        </w:rPr>
        <w:t>, a</w:t>
      </w:r>
      <w:r w:rsidRPr="00234FFB">
        <w:rPr>
          <w:rFonts w:ascii="Times New Roman" w:hAnsi="Times New Roman" w:cs="Times New Roman"/>
          <w:sz w:val="24"/>
          <w:szCs w:val="24"/>
        </w:rPr>
        <w:t>s the user desires</w:t>
      </w:r>
      <w:r w:rsidR="00372CDC" w:rsidRPr="00234FFB">
        <w:rPr>
          <w:rFonts w:ascii="Times New Roman" w:hAnsi="Times New Roman" w:cs="Times New Roman"/>
          <w:sz w:val="24"/>
          <w:szCs w:val="24"/>
        </w:rPr>
        <w:t>, f</w:t>
      </w:r>
      <w:r w:rsidRPr="00234FFB">
        <w:rPr>
          <w:rFonts w:ascii="Times New Roman" w:hAnsi="Times New Roman" w:cs="Times New Roman"/>
          <w:sz w:val="24"/>
          <w:szCs w:val="24"/>
        </w:rPr>
        <w:t>lexible in operation</w:t>
      </w:r>
      <w:r w:rsidR="00372CDC" w:rsidRPr="00234FFB">
        <w:rPr>
          <w:rFonts w:ascii="Times New Roman" w:hAnsi="Times New Roman" w:cs="Times New Roman"/>
          <w:sz w:val="24"/>
          <w:szCs w:val="24"/>
        </w:rPr>
        <w:t>, and e</w:t>
      </w:r>
      <w:r w:rsidRPr="00234FFB">
        <w:rPr>
          <w:rFonts w:ascii="Times New Roman" w:hAnsi="Times New Roman" w:cs="Times New Roman"/>
          <w:sz w:val="24"/>
          <w:szCs w:val="24"/>
        </w:rPr>
        <w:t>asy to skilled</w:t>
      </w:r>
      <w:r w:rsidR="00372CDC" w:rsidRPr="00234FFB">
        <w:rPr>
          <w:rFonts w:ascii="Times New Roman" w:hAnsi="Times New Roman" w:cs="Times New Roman"/>
          <w:sz w:val="24"/>
          <w:szCs w:val="24"/>
        </w:rPr>
        <w:t>.</w:t>
      </w:r>
    </w:p>
    <w:p w14:paraId="438A1E1C" w14:textId="479FB6A1" w:rsidR="00234FFB" w:rsidRPr="00234FFB" w:rsidRDefault="00234FFB" w:rsidP="00234FFB">
      <w:pPr>
        <w:pStyle w:val="IJASEITHeading2"/>
        <w:numPr>
          <w:ilvl w:val="0"/>
          <w:numId w:val="0"/>
        </w:numPr>
        <w:spacing w:before="0" w:after="0"/>
        <w:jc w:val="both"/>
        <w:rPr>
          <w:i w:val="0"/>
          <w:sz w:val="24"/>
          <w:lang w:eastAsia="ja-JP"/>
        </w:rPr>
      </w:pPr>
      <w:r w:rsidRPr="00234FFB">
        <w:rPr>
          <w:i w:val="0"/>
          <w:sz w:val="24"/>
          <w:lang w:eastAsia="ja-JP"/>
        </w:rPr>
        <w:t>Hypotheses 1a. Confirmation expectation will be significantly related to perceived usefulness.</w:t>
      </w:r>
    </w:p>
    <w:p w14:paraId="63F3BA5E" w14:textId="33F35489" w:rsidR="00234FFB" w:rsidRPr="00234FFB" w:rsidRDefault="00234FFB" w:rsidP="00234FFB">
      <w:pPr>
        <w:spacing w:after="0" w:line="240" w:lineRule="auto"/>
        <w:jc w:val="both"/>
        <w:rPr>
          <w:rFonts w:ascii="Times New Roman" w:hAnsi="Times New Roman" w:cs="Times New Roman"/>
          <w:sz w:val="24"/>
          <w:lang w:eastAsia="ja-JP"/>
        </w:rPr>
      </w:pPr>
      <w:r w:rsidRPr="00234FFB">
        <w:rPr>
          <w:rFonts w:ascii="Times New Roman" w:hAnsi="Times New Roman" w:cs="Times New Roman"/>
          <w:sz w:val="24"/>
          <w:lang w:eastAsia="ja-JP"/>
        </w:rPr>
        <w:t>Hypotheses 1b. Confirmation expectation will be significantly related to satisfaction</w:t>
      </w:r>
    </w:p>
    <w:p w14:paraId="1C5E5D72" w14:textId="141579A8" w:rsidR="00234FFB" w:rsidRPr="00234FFB" w:rsidRDefault="00234FFB" w:rsidP="00234FFB">
      <w:pPr>
        <w:pStyle w:val="IJASEITHeading2"/>
        <w:numPr>
          <w:ilvl w:val="0"/>
          <w:numId w:val="0"/>
        </w:numPr>
        <w:spacing w:before="0" w:after="0"/>
        <w:jc w:val="both"/>
        <w:rPr>
          <w:i w:val="0"/>
          <w:sz w:val="24"/>
          <w:lang w:eastAsia="ja-JP"/>
        </w:rPr>
      </w:pPr>
      <w:r w:rsidRPr="00234FFB">
        <w:rPr>
          <w:i w:val="0"/>
          <w:sz w:val="24"/>
          <w:lang w:eastAsia="ja-JP"/>
        </w:rPr>
        <w:t>Hypotheses 1c. Confirmation expectation will be significantly related to trust.</w:t>
      </w:r>
    </w:p>
    <w:p w14:paraId="59C958BE" w14:textId="7F588399" w:rsidR="00234FFB" w:rsidRPr="00234FFB" w:rsidRDefault="00234FFB" w:rsidP="00234FFB">
      <w:pPr>
        <w:spacing w:after="0" w:line="240" w:lineRule="auto"/>
        <w:jc w:val="both"/>
        <w:rPr>
          <w:rFonts w:ascii="Times New Roman" w:hAnsi="Times New Roman" w:cs="Times New Roman"/>
          <w:sz w:val="24"/>
          <w:lang w:eastAsia="ja-JP"/>
        </w:rPr>
      </w:pPr>
      <w:r w:rsidRPr="00234FFB">
        <w:rPr>
          <w:rFonts w:ascii="Times New Roman" w:hAnsi="Times New Roman" w:cs="Times New Roman"/>
          <w:sz w:val="24"/>
          <w:lang w:eastAsia="ja-JP"/>
        </w:rPr>
        <w:lastRenderedPageBreak/>
        <w:t>Hypotheses 2a. Perceived usefulness will be significantly related to satisfaction.</w:t>
      </w:r>
    </w:p>
    <w:p w14:paraId="4BA576E4" w14:textId="05FBE481" w:rsidR="006D5C07" w:rsidRDefault="00234FFB" w:rsidP="00A51C04">
      <w:pPr>
        <w:spacing w:after="0" w:line="240" w:lineRule="auto"/>
        <w:jc w:val="both"/>
        <w:rPr>
          <w:rFonts w:ascii="Times New Roman" w:hAnsi="Times New Roman" w:cs="Times New Roman"/>
          <w:sz w:val="24"/>
          <w:lang w:eastAsia="ja-JP"/>
        </w:rPr>
      </w:pPr>
      <w:r w:rsidRPr="00234FFB">
        <w:rPr>
          <w:rFonts w:ascii="Times New Roman" w:hAnsi="Times New Roman" w:cs="Times New Roman"/>
          <w:sz w:val="24"/>
          <w:lang w:eastAsia="ja-JP"/>
        </w:rPr>
        <w:t>Hypotheses 2b. Perceived usefulness will be significantly related to trust.</w:t>
      </w:r>
    </w:p>
    <w:p w14:paraId="2B79D6DF" w14:textId="77777777" w:rsidR="00A51C04" w:rsidRPr="00A51C04" w:rsidRDefault="00A51C04" w:rsidP="00A51C04">
      <w:pPr>
        <w:spacing w:after="0" w:line="240" w:lineRule="auto"/>
        <w:jc w:val="both"/>
        <w:rPr>
          <w:rFonts w:ascii="Times New Roman" w:hAnsi="Times New Roman" w:cs="Times New Roman"/>
          <w:sz w:val="24"/>
          <w:szCs w:val="24"/>
        </w:rPr>
      </w:pPr>
    </w:p>
    <w:p w14:paraId="7595B096" w14:textId="2026E849" w:rsidR="006D5C07" w:rsidRDefault="004378E2" w:rsidP="00A51C04">
      <w:pPr>
        <w:pStyle w:val="Heading2"/>
        <w:spacing w:after="0"/>
      </w:pPr>
      <w:r>
        <w:t>Trust</w:t>
      </w:r>
    </w:p>
    <w:p w14:paraId="72300D26" w14:textId="2EBDA21B" w:rsidR="00690781" w:rsidRDefault="006243B6" w:rsidP="00690781">
      <w:pPr>
        <w:spacing w:after="0"/>
        <w:ind w:firstLine="284"/>
        <w:jc w:val="both"/>
        <w:rPr>
          <w:rFonts w:ascii="Times New Roman" w:hAnsi="Times New Roman" w:cs="Times New Roman"/>
          <w:sz w:val="24"/>
          <w:szCs w:val="24"/>
        </w:rPr>
      </w:pPr>
      <w:r w:rsidRPr="00690781">
        <w:rPr>
          <w:rFonts w:ascii="Times New Roman" w:hAnsi="Times New Roman" w:cs="Times New Roman"/>
          <w:sz w:val="24"/>
          <w:szCs w:val="24"/>
        </w:rPr>
        <w:fldChar w:fldCharType="begin" w:fldLock="1"/>
      </w:r>
      <w:r w:rsidRPr="00690781">
        <w:rPr>
          <w:rFonts w:ascii="Times New Roman" w:hAnsi="Times New Roman" w:cs="Times New Roman"/>
          <w:sz w:val="24"/>
          <w:szCs w:val="24"/>
        </w:rPr>
        <w:instrText>ADDIN CSL_CITATION {"citationItems":[{"id":"ITEM-1","itemData":{"DOI":"10.1007/s10796-011-9335-8","ISSN":"13873326","abstract":"In this research the authors examine member self-disclosure phenomenon at social networking sites. Self-disclosure enables member interactions, service customizations, and digital content generation and hence self-disclosure is imperative to the success of social networking sites. Drawing upon Social Capital Theory, we develop a succinct research model that examines the role of relational capitals in member disclosure behavior. This model also investigates the intricate relationships among relational capitals such as trust, reciprocity, and identification. This researchmodel has been validated through survey data collected from 222 social networking site users and the analysis results provide strong support to the hypothesized relationships. The current study generates new knowledge on the exact role of relational capitals in sustaining social networking sites and it also informs the service providers of social networks to identify strategies that promote member disclosure. © Springer Science+Business Media, LLC 2011.","author":[{"dropping-particle":"","family":"Chen","given":"Rui","non-dropping-particle":"","parse-names":false,"suffix":""},{"dropping-particle":"","family":"Sharma","given":"Sushil K.","non-dropping-particle":"","parse-names":false,"suffix":""}],"container-title":"Information Systems Frontiers","id":"ITEM-1","issue":"2","issued":{"date-parts":[["2013"]]},"page":"269-278","title":"Self-disclosure at social networking sites: An exploration through relational capitals","type":"article-journal","volume":"15"},"uris":["http://www.mendeley.com/documents/?uuid=702f7d64-7b05-431b-a9eb-b156d50579ca"]}],"mendeley":{"formattedCitation":"(Chen &amp; Sharma, 2013)","manualFormatting":"Chen &amp; Sharma (2013)","plainTextFormattedCitation":"(Chen &amp; Sharma, 2013)","previouslyFormattedCitation":"(Chen &amp; Sharma, 2013)"},"properties":{"noteIndex":0},"schema":"https://github.com/citation-style-language/schema/raw/master/csl-citation.json"}</w:instrText>
      </w:r>
      <w:r w:rsidRPr="00690781">
        <w:rPr>
          <w:rFonts w:ascii="Times New Roman" w:hAnsi="Times New Roman" w:cs="Times New Roman"/>
          <w:sz w:val="24"/>
          <w:szCs w:val="24"/>
        </w:rPr>
        <w:fldChar w:fldCharType="separate"/>
      </w:r>
      <w:r w:rsidRPr="00690781">
        <w:rPr>
          <w:rFonts w:ascii="Times New Roman" w:hAnsi="Times New Roman" w:cs="Times New Roman"/>
          <w:noProof/>
          <w:sz w:val="24"/>
          <w:szCs w:val="24"/>
        </w:rPr>
        <w:t>Chen &amp; Sharma (2013)</w:t>
      </w:r>
      <w:r w:rsidRPr="00690781">
        <w:rPr>
          <w:rFonts w:ascii="Times New Roman" w:hAnsi="Times New Roman" w:cs="Times New Roman"/>
          <w:sz w:val="24"/>
          <w:szCs w:val="24"/>
        </w:rPr>
        <w:fldChar w:fldCharType="end"/>
      </w:r>
      <w:r w:rsidRPr="00690781">
        <w:rPr>
          <w:rFonts w:ascii="Times New Roman" w:hAnsi="Times New Roman" w:cs="Times New Roman"/>
          <w:sz w:val="24"/>
          <w:szCs w:val="24"/>
        </w:rPr>
        <w:t xml:space="preserve"> </w:t>
      </w:r>
      <w:r w:rsidR="00A47E9E" w:rsidRPr="00690781">
        <w:rPr>
          <w:rFonts w:ascii="Times New Roman" w:hAnsi="Times New Roman" w:cs="Times New Roman"/>
          <w:sz w:val="24"/>
          <w:szCs w:val="24"/>
        </w:rPr>
        <w:t xml:space="preserve">define trust as </w:t>
      </w:r>
      <w:r w:rsidR="002E6C2A">
        <w:rPr>
          <w:rFonts w:ascii="Times New Roman" w:hAnsi="Times New Roman" w:cs="Times New Roman"/>
          <w:sz w:val="24"/>
          <w:szCs w:val="24"/>
        </w:rPr>
        <w:t>"</w:t>
      </w:r>
      <w:r w:rsidR="00A47E9E" w:rsidRPr="00690781">
        <w:rPr>
          <w:rFonts w:ascii="Times New Roman" w:hAnsi="Times New Roman" w:cs="Times New Roman"/>
          <w:sz w:val="24"/>
          <w:szCs w:val="24"/>
        </w:rPr>
        <w:t>the willingness of a party to be vulnerable to the actions of another party based on the expectation that the other will perform a particular action important to the trustor, irrespective of the ability to monitor or control that other party</w:t>
      </w:r>
      <w:r w:rsidR="00690781" w:rsidRPr="00690781">
        <w:rPr>
          <w:rFonts w:ascii="Times New Roman" w:hAnsi="Times New Roman" w:cs="Times New Roman"/>
          <w:sz w:val="24"/>
          <w:szCs w:val="24"/>
        </w:rPr>
        <w:t xml:space="preserve">. </w:t>
      </w:r>
      <w:r w:rsidR="002E6C2A">
        <w:rPr>
          <w:rFonts w:ascii="Times New Roman" w:hAnsi="Times New Roman" w:cs="Times New Roman"/>
          <w:sz w:val="24"/>
          <w:szCs w:val="24"/>
        </w:rPr>
        <w:t>"</w:t>
      </w:r>
      <w:r w:rsidR="00A47E9E" w:rsidRPr="00690781">
        <w:rPr>
          <w:rFonts w:ascii="Times New Roman" w:hAnsi="Times New Roman" w:cs="Times New Roman"/>
          <w:sz w:val="24"/>
          <w:szCs w:val="24"/>
        </w:rPr>
        <w:t xml:space="preserve">In other words, trust involves </w:t>
      </w:r>
      <w:r w:rsidRPr="00690781">
        <w:rPr>
          <w:rFonts w:ascii="Times New Roman" w:hAnsi="Times New Roman" w:cs="Times New Roman"/>
          <w:sz w:val="24"/>
          <w:szCs w:val="24"/>
        </w:rPr>
        <w:t>believing</w:t>
      </w:r>
      <w:r w:rsidR="00A47E9E" w:rsidRPr="00690781">
        <w:rPr>
          <w:rFonts w:ascii="Times New Roman" w:hAnsi="Times New Roman" w:cs="Times New Roman"/>
          <w:sz w:val="24"/>
          <w:szCs w:val="24"/>
        </w:rPr>
        <w:t xml:space="preserve"> that the trusted party will act in a reliable, ethical, and socially appropriate manner, even when there is no ability to monitor or control their actions</w:t>
      </w:r>
      <w:r w:rsidR="00690781" w:rsidRPr="00690781">
        <w:rPr>
          <w:rFonts w:ascii="Times New Roman" w:hAnsi="Times New Roman" w:cs="Times New Roman"/>
          <w:sz w:val="24"/>
          <w:szCs w:val="24"/>
        </w:rPr>
        <w:t xml:space="preserve"> </w:t>
      </w:r>
      <w:r w:rsidR="00690781" w:rsidRPr="00690781">
        <w:rPr>
          <w:rFonts w:ascii="Times New Roman" w:hAnsi="Times New Roman" w:cs="Times New Roman"/>
          <w:sz w:val="24"/>
          <w:szCs w:val="24"/>
        </w:rPr>
        <w:fldChar w:fldCharType="begin" w:fldLock="1"/>
      </w:r>
      <w:r w:rsidR="00BB2FA6">
        <w:rPr>
          <w:rFonts w:ascii="Times New Roman" w:hAnsi="Times New Roman" w:cs="Times New Roman"/>
          <w:sz w:val="24"/>
          <w:szCs w:val="24"/>
        </w:rPr>
        <w:instrText>ADDIN CSL_CITATION {"citationItems":[{"id":"ITEM-1","itemData":{"ISSN":"18173195","abstract":"Customer e-loyalty is an important issue in the very competitive environment of e-banking. Different studies show that e-loyalty is influenced by e-satisfaction, e-trust and e-service quality. However, little attention has been given in the literature to fully understand the full relationships among them. The purpose of this study is to empirically investigate the impacts of e-satisfaction, e-trust and e-service quality on eloyalty, in e-banking as an aspect of B2C e-commerce context. Data was collected to test the model from faculties and students of Tehran universities as respondents, and empirical analyses were performed using SEM. The analytical results indicate that although service quality, e-satisfaction, and e-trust have strong direct effect on e-loyalty, impacts of indirect effects (with e-satisfaction and e-trust playing mediating roles) are more significant. Additionally, this study represents a framework that indicates the full relationship among the three factors and their (direct and indirect) effects on e-loyalty, a phenomenon that has not previously been explored. © 2005 - 2011 JATIT &amp; LLS. All rights reserved.","author":[{"dropping-particle":"","family":"Ghane","given":"Soheila","non-dropping-particle":"","parse-names":false,"suffix":""},{"dropping-particle":"","family":"Fathian","given":"M.","non-dropping-particle":"","parse-names":false,"suffix":""},{"dropping-particle":"","family":"Gholamian","given":"M. R.","non-dropping-particle":"","parse-names":false,"suffix":""}],"container-title":"Journal of Theoretical and Applied Information Technology","id":"ITEM-1","issue":"1","issued":{"date-parts":[["2011"]]},"page":"1-6","title":"Full relationship among e-satisfaction, e-trust, e-service quality, and e-loyalty: The case of Iran e-banking","type":"article-journal","volume":"33"},"uris":["http://www.mendeley.com/documents/?uuid=8effaf8f-2666-4815-968f-e10a2081c00e"]}],"mendeley":{"formattedCitation":"(Ghane et al., 2011)","plainTextFormattedCitation":"(Ghane et al., 2011)","previouslyFormattedCitation":"(Ghane et al., 2011)"},"properties":{"noteIndex":0},"schema":"https://github.com/citation-style-language/schema/raw/master/csl-citation.json"}</w:instrText>
      </w:r>
      <w:r w:rsidR="00690781" w:rsidRPr="00690781">
        <w:rPr>
          <w:rFonts w:ascii="Times New Roman" w:hAnsi="Times New Roman" w:cs="Times New Roman"/>
          <w:sz w:val="24"/>
          <w:szCs w:val="24"/>
        </w:rPr>
        <w:fldChar w:fldCharType="separate"/>
      </w:r>
      <w:r w:rsidR="00690781" w:rsidRPr="00690781">
        <w:rPr>
          <w:rFonts w:ascii="Times New Roman" w:hAnsi="Times New Roman" w:cs="Times New Roman"/>
          <w:noProof/>
          <w:sz w:val="24"/>
          <w:szCs w:val="24"/>
        </w:rPr>
        <w:t>(Ghane et al., 2011)</w:t>
      </w:r>
      <w:r w:rsidR="00690781" w:rsidRPr="00690781">
        <w:rPr>
          <w:rFonts w:ascii="Times New Roman" w:hAnsi="Times New Roman" w:cs="Times New Roman"/>
          <w:sz w:val="24"/>
          <w:szCs w:val="24"/>
        </w:rPr>
        <w:fldChar w:fldCharType="end"/>
      </w:r>
      <w:r w:rsidR="00A47E9E" w:rsidRPr="00690781">
        <w:rPr>
          <w:rFonts w:ascii="Times New Roman" w:hAnsi="Times New Roman" w:cs="Times New Roman"/>
          <w:sz w:val="24"/>
          <w:szCs w:val="24"/>
        </w:rPr>
        <w:t>.</w:t>
      </w:r>
      <w:r w:rsidR="00690781" w:rsidRPr="00690781">
        <w:rPr>
          <w:rFonts w:ascii="Times New Roman" w:hAnsi="Times New Roman" w:cs="Times New Roman"/>
          <w:sz w:val="24"/>
          <w:szCs w:val="24"/>
        </w:rPr>
        <w:t xml:space="preserve"> </w:t>
      </w:r>
      <w:r w:rsidR="00690781" w:rsidRPr="00690781">
        <w:rPr>
          <w:rFonts w:ascii="Times New Roman" w:hAnsi="Times New Roman" w:cs="Times New Roman"/>
          <w:sz w:val="24"/>
          <w:szCs w:val="24"/>
        </w:rPr>
        <w:fldChar w:fldCharType="begin" w:fldLock="1"/>
      </w:r>
      <w:r w:rsidR="00690781" w:rsidRPr="00690781">
        <w:rPr>
          <w:rFonts w:ascii="Times New Roman" w:hAnsi="Times New Roman" w:cs="Times New Roman"/>
          <w:sz w:val="24"/>
          <w:szCs w:val="24"/>
        </w:rPr>
        <w:instrText>ADDIN CSL_CITATION {"citationItems":[{"id":"ITEM-1","itemData":{"DOI":"10.1007/s10796-011-9335-8","ISSN":"13873326","abstract":"In this research the authors examine member self-disclosure phenomenon at social networking sites. Self-disclosure enables member interactions, service customizations, and digital content generation and hence self-disclosure is imperative to the success of social networking sites. Drawing upon Social Capital Theory, we develop a succinct research model that examines the role of relational capitals in member disclosure behavior. This model also investigates the intricate relationships among relational capitals such as trust, reciprocity, and identification. This researchmodel has been validated through survey data collected from 222 social networking site users and the analysis results provide strong support to the hypothesized relationships. The current study generates new knowledge on the exact role of relational capitals in sustaining social networking sites and it also informs the service providers of social networks to identify strategies that promote member disclosure. © Springer Science+Business Media, LLC 2011.","author":[{"dropping-particle":"","family":"Chen","given":"Rui","non-dropping-particle":"","parse-names":false,"suffix":""},{"dropping-particle":"","family":"Sharma","given":"Sushil K.","non-dropping-particle":"","parse-names":false,"suffix":""}],"container-title":"Information Systems Frontiers","id":"ITEM-1","issue":"2","issued":{"date-parts":[["2013"]]},"page":"269-278","title":"Self-disclosure at social networking sites: An exploration through relational capitals","type":"article-journal","volume":"15"},"uris":["http://www.mendeley.com/documents/?uuid=702f7d64-7b05-431b-a9eb-b156d50579ca"]}],"mendeley":{"formattedCitation":"(Chen &amp; Sharma, 2013)","manualFormatting":"Chen &amp; Sharma (2013)","plainTextFormattedCitation":"(Chen &amp; Sharma, 2013)","previouslyFormattedCitation":"(Chen &amp; Sharma, 2013)"},"properties":{"noteIndex":0},"schema":"https://github.com/citation-style-language/schema/raw/master/csl-citation.json"}</w:instrText>
      </w:r>
      <w:r w:rsidR="00690781" w:rsidRPr="00690781">
        <w:rPr>
          <w:rFonts w:ascii="Times New Roman" w:hAnsi="Times New Roman" w:cs="Times New Roman"/>
          <w:sz w:val="24"/>
          <w:szCs w:val="24"/>
        </w:rPr>
        <w:fldChar w:fldCharType="separate"/>
      </w:r>
      <w:r w:rsidR="00690781" w:rsidRPr="00690781">
        <w:rPr>
          <w:rFonts w:ascii="Times New Roman" w:hAnsi="Times New Roman" w:cs="Times New Roman"/>
          <w:noProof/>
          <w:sz w:val="24"/>
          <w:szCs w:val="24"/>
        </w:rPr>
        <w:t>Chen &amp; Sharma (2013)</w:t>
      </w:r>
      <w:r w:rsidR="00690781" w:rsidRPr="00690781">
        <w:rPr>
          <w:rFonts w:ascii="Times New Roman" w:hAnsi="Times New Roman" w:cs="Times New Roman"/>
          <w:sz w:val="24"/>
          <w:szCs w:val="24"/>
        </w:rPr>
        <w:fldChar w:fldCharType="end"/>
      </w:r>
      <w:r w:rsidR="00690781" w:rsidRPr="00690781">
        <w:rPr>
          <w:rFonts w:ascii="Times New Roman" w:hAnsi="Times New Roman" w:cs="Times New Roman"/>
          <w:sz w:val="24"/>
          <w:szCs w:val="24"/>
        </w:rPr>
        <w:t xml:space="preserve"> measure trust using five indicators of perception</w:t>
      </w:r>
      <w:r w:rsidR="00690781">
        <w:rPr>
          <w:rFonts w:ascii="Times New Roman" w:hAnsi="Times New Roman" w:cs="Times New Roman"/>
          <w:sz w:val="24"/>
          <w:szCs w:val="24"/>
        </w:rPr>
        <w:t>:</w:t>
      </w:r>
      <w:r w:rsidR="00690781" w:rsidRPr="00690781">
        <w:rPr>
          <w:rFonts w:ascii="Times New Roman" w:hAnsi="Times New Roman" w:cs="Times New Roman"/>
          <w:sz w:val="24"/>
          <w:szCs w:val="24"/>
        </w:rPr>
        <w:t xml:space="preserve"> </w:t>
      </w:r>
      <w:r w:rsidR="00690781">
        <w:rPr>
          <w:rFonts w:ascii="Times New Roman" w:hAnsi="Times New Roman" w:cs="Times New Roman"/>
          <w:sz w:val="24"/>
          <w:szCs w:val="24"/>
        </w:rPr>
        <w:t>p</w:t>
      </w:r>
      <w:r w:rsidR="00690781" w:rsidRPr="00690781">
        <w:rPr>
          <w:rFonts w:ascii="Times New Roman" w:hAnsi="Times New Roman" w:cs="Times New Roman"/>
          <w:sz w:val="24"/>
          <w:szCs w:val="24"/>
        </w:rPr>
        <w:t xml:space="preserve">erceived honesty and openness, </w:t>
      </w:r>
      <w:r w:rsidR="00690781">
        <w:rPr>
          <w:rFonts w:ascii="Times New Roman" w:hAnsi="Times New Roman" w:cs="Times New Roman"/>
          <w:sz w:val="24"/>
          <w:szCs w:val="24"/>
        </w:rPr>
        <w:t>p</w:t>
      </w:r>
      <w:r w:rsidR="00690781" w:rsidRPr="00690781">
        <w:rPr>
          <w:rFonts w:ascii="Times New Roman" w:hAnsi="Times New Roman" w:cs="Times New Roman"/>
          <w:sz w:val="24"/>
          <w:szCs w:val="24"/>
        </w:rPr>
        <w:t xml:space="preserve">erceived competence and ability, </w:t>
      </w:r>
      <w:r w:rsidR="00690781">
        <w:rPr>
          <w:rFonts w:ascii="Times New Roman" w:hAnsi="Times New Roman" w:cs="Times New Roman"/>
          <w:sz w:val="24"/>
          <w:szCs w:val="24"/>
        </w:rPr>
        <w:t>p</w:t>
      </w:r>
      <w:r w:rsidR="00690781" w:rsidRPr="00690781">
        <w:rPr>
          <w:rFonts w:ascii="Times New Roman" w:hAnsi="Times New Roman" w:cs="Times New Roman"/>
          <w:sz w:val="24"/>
          <w:szCs w:val="24"/>
        </w:rPr>
        <w:t xml:space="preserve">erceived benevolence and goodwill, </w:t>
      </w:r>
      <w:r w:rsidR="00690781">
        <w:rPr>
          <w:rFonts w:ascii="Times New Roman" w:hAnsi="Times New Roman" w:cs="Times New Roman"/>
          <w:sz w:val="24"/>
          <w:szCs w:val="24"/>
        </w:rPr>
        <w:t>p</w:t>
      </w:r>
      <w:r w:rsidR="00690781" w:rsidRPr="00690781">
        <w:rPr>
          <w:rFonts w:ascii="Times New Roman" w:hAnsi="Times New Roman" w:cs="Times New Roman"/>
          <w:sz w:val="24"/>
          <w:szCs w:val="24"/>
        </w:rPr>
        <w:t xml:space="preserve">erceived predictability and reliability, and </w:t>
      </w:r>
      <w:r w:rsidR="00690781">
        <w:rPr>
          <w:rFonts w:ascii="Times New Roman" w:hAnsi="Times New Roman" w:cs="Times New Roman"/>
          <w:sz w:val="24"/>
          <w:szCs w:val="24"/>
        </w:rPr>
        <w:t>p</w:t>
      </w:r>
      <w:r w:rsidR="00690781" w:rsidRPr="00690781">
        <w:rPr>
          <w:rFonts w:ascii="Times New Roman" w:hAnsi="Times New Roman" w:cs="Times New Roman"/>
          <w:sz w:val="24"/>
          <w:szCs w:val="24"/>
        </w:rPr>
        <w:t>erceived security and privacy protection.</w:t>
      </w:r>
    </w:p>
    <w:p w14:paraId="4565D6A3" w14:textId="5E9C4528" w:rsidR="00A47E9E" w:rsidRDefault="00A47E9E" w:rsidP="00690781">
      <w:pPr>
        <w:spacing w:after="0"/>
        <w:ind w:firstLine="284"/>
        <w:jc w:val="both"/>
        <w:rPr>
          <w:rFonts w:ascii="Times New Roman" w:hAnsi="Times New Roman" w:cs="Times New Roman"/>
          <w:sz w:val="24"/>
          <w:szCs w:val="24"/>
        </w:rPr>
      </w:pPr>
      <w:r w:rsidRPr="00690781">
        <w:rPr>
          <w:rFonts w:ascii="Times New Roman" w:hAnsi="Times New Roman" w:cs="Times New Roman"/>
          <w:sz w:val="24"/>
          <w:szCs w:val="24"/>
        </w:rPr>
        <w:t xml:space="preserve">The relationship between trust and satisfaction is well-established in the literature. Several studies have found that trust </w:t>
      </w:r>
      <w:r w:rsidR="006243B6" w:rsidRPr="00690781">
        <w:rPr>
          <w:rFonts w:ascii="Times New Roman" w:hAnsi="Times New Roman" w:cs="Times New Roman"/>
          <w:sz w:val="24"/>
          <w:szCs w:val="24"/>
        </w:rPr>
        <w:t>positively affects</w:t>
      </w:r>
      <w:r w:rsidRPr="00690781">
        <w:rPr>
          <w:rFonts w:ascii="Times New Roman" w:hAnsi="Times New Roman" w:cs="Times New Roman"/>
          <w:sz w:val="24"/>
          <w:szCs w:val="24"/>
        </w:rPr>
        <w:t xml:space="preserve"> customer satisfaction</w:t>
      </w:r>
      <w:r w:rsidR="006243B6" w:rsidRPr="00690781">
        <w:rPr>
          <w:rFonts w:ascii="Times New Roman" w:hAnsi="Times New Roman" w:cs="Times New Roman"/>
          <w:sz w:val="24"/>
          <w:szCs w:val="24"/>
        </w:rPr>
        <w:t xml:space="preserve"> </w:t>
      </w:r>
      <w:r w:rsidR="006243B6" w:rsidRPr="00690781">
        <w:rPr>
          <w:rFonts w:ascii="Times New Roman" w:hAnsi="Times New Roman" w:cs="Times New Roman"/>
          <w:sz w:val="24"/>
          <w:szCs w:val="24"/>
        </w:rPr>
        <w:fldChar w:fldCharType="begin" w:fldLock="1"/>
      </w:r>
      <w:r w:rsidR="006243B6" w:rsidRPr="00690781">
        <w:rPr>
          <w:rFonts w:ascii="Times New Roman" w:hAnsi="Times New Roman" w:cs="Times New Roman"/>
          <w:sz w:val="24"/>
          <w:szCs w:val="24"/>
        </w:rPr>
        <w:instrText>ADDIN CSL_CITATION {"citationItems":[{"id":"ITEM-1","itemData":{"DOI":"10.21511/im.19(2).2023.19","ISSN":"18142427","abstract":"The study aims to explore how consumer satisfaction influences consumer trust and, ultimately, builds strong consumer loyalty in the dynamic world of Indonesian e-commerce. The relevance of this study is determined by how e-commerce businesses can improve customer loyalty by enhancing consumer trust and satisfaction. The study used a quantitative research design and surveyed 230 consumers from Jakarta, Indonesia. The data analysis involved utilizing validation and descriptive statistics in MS Excel and inferential statistics through SmartPLS to draw meaningful conclusions. The results showed a positive, significant, and direct relationship between consumer satisfaction and consumer loyalty. The R2 for consumer loyalty indicates that consumer satisfaction and consumer trust explain 56.6% of the variances in consumer loyalty, whereas consumer satisfaction explains 37.4% of the variances in consumer trust. Furthermore, the findings showed that this relationship is strengthened when consumer trust is included as a mediator, demonstrating a complementary partial mediation indicating that trust enhances consumer loyalty. Thus, the study concludes that consumers are more likely to feel loyal to e-commerce websites when their satisfaction is combined with trust. It provides considerable insights into the determinants of consumer loyalty and emphasizes the importance of establishing trust in e-commerce websites as a critical strategy to enhance customer loyalty. This paper also contributes to the broader literature on consumer behavior and loyalty in the context of digital business, providing new insights and perspectives that can help shape future research in this area.","author":[{"dropping-particle":"","family":"Kurniadi","given":"Hadi","non-dropping-particle":"","parse-names":false,"suffix":""},{"dropping-particle":"","family":"Ali Saeed Rana","given":"Junaid","non-dropping-particle":"","parse-names":false,"suffix":""}],"container-title":"Innovative Marketing","id":"ITEM-1","issue":"2","issued":{"date-parts":[["2023","6","22"]]},"page":"236-249","title":"The power of trust: How does consumer trust impact satisfaction and loyalty in Indonesian digital business?","type":"article-journal","volume":"19"},"uris":["http://www.mendeley.com/documents/?uuid=63417787-e13b-49f9-8d53-f1f32aca888c"]},{"id":"ITEM-2","itemData":{"abstract":"The purpose of this study was to determine the relationship between customer value and trust on consumer satisfaction and its impact on consumer loyalty to consumers of spare parts for heavy equipment excavators at CV. Bandung Jaya Diesel City of Bandung. This research was conducted by taking a sample of 100 consumers. For data analysis using SPSS 20 and AMOST version 21 programs. The results of this study show 1) Customer Value has a significant positive effect on Consumer Satisfaction, 2) Customer Trust has a positive and insignificant effect on Consumer Satisfaction, 3) Service Quality has a significant positive effect on Consumer Loyalty , 4) Customer Trust has a significant positive effect on Consumer Loyalty, 5) Customer Satisfaction has a significant positive effect on Customer Loyalty.","author":[{"dropping-particle":"","family":"Tanjung","given":"Rahman","non-dropping-particle":"","parse-names":false,"suffix":""},{"dropping-particle":"","family":"Rakeyan","given":"Stit","non-dropping-particle":"","parse-names":false,"suffix":""},{"dropping-particle":"","family":"Karawang","given":"Santang","non-dropping-particle":"","parse-names":false,"suffix":""}],"container-title":"International Journal Of Science Education and Technology Management Pages","id":"ITEM-2","issue":"1","issued":{"date-parts":[["2022"]]},"page":"59-69","title":"The Relationship between Customer Value and Trust in Consumer Satisfaction and its Impact on Consumer Loyalty","type":"article-journal","volume":"1"},"uris":["http://www.mendeley.com/documents/?uuid=49254d25-11b9-4eab-9834-1b0aa17dc222"]}],"mendeley":{"formattedCitation":"(Kurniadi &amp; Ali Saeed Rana, 2023; Tanjung et al., 2022)","plainTextFormattedCitation":"(Kurniadi &amp; Ali Saeed Rana, 2023; Tanjung et al., 2022)","previouslyFormattedCitation":"(Kurniadi &amp; Ali Saeed Rana, 2023; Tanjung et al., 2022)"},"properties":{"noteIndex":0},"schema":"https://github.com/citation-style-language/schema/raw/master/csl-citation.json"}</w:instrText>
      </w:r>
      <w:r w:rsidR="006243B6" w:rsidRPr="00690781">
        <w:rPr>
          <w:rFonts w:ascii="Times New Roman" w:hAnsi="Times New Roman" w:cs="Times New Roman"/>
          <w:sz w:val="24"/>
          <w:szCs w:val="24"/>
        </w:rPr>
        <w:fldChar w:fldCharType="separate"/>
      </w:r>
      <w:r w:rsidR="006243B6" w:rsidRPr="00690781">
        <w:rPr>
          <w:rFonts w:ascii="Times New Roman" w:hAnsi="Times New Roman" w:cs="Times New Roman"/>
          <w:noProof/>
          <w:sz w:val="24"/>
          <w:szCs w:val="24"/>
        </w:rPr>
        <w:t>(Kurniadi &amp; Ali Saeed Rana, 2023; Tanjung et al., 2022)</w:t>
      </w:r>
      <w:r w:rsidR="006243B6" w:rsidRPr="00690781">
        <w:rPr>
          <w:rFonts w:ascii="Times New Roman" w:hAnsi="Times New Roman" w:cs="Times New Roman"/>
          <w:sz w:val="24"/>
          <w:szCs w:val="24"/>
        </w:rPr>
        <w:fldChar w:fldCharType="end"/>
      </w:r>
      <w:r w:rsidRPr="00690781">
        <w:rPr>
          <w:rFonts w:ascii="Times New Roman" w:hAnsi="Times New Roman" w:cs="Times New Roman"/>
          <w:sz w:val="24"/>
          <w:szCs w:val="24"/>
        </w:rPr>
        <w:t xml:space="preserve">. </w:t>
      </w:r>
      <w:r w:rsidR="006243B6" w:rsidRPr="00690781">
        <w:rPr>
          <w:rFonts w:ascii="Times New Roman" w:hAnsi="Times New Roman" w:cs="Times New Roman"/>
          <w:sz w:val="24"/>
          <w:szCs w:val="24"/>
        </w:rPr>
        <w:t xml:space="preserve">Customers who trust a company tend to be satisfied with the product or service provided </w:t>
      </w:r>
      <w:r w:rsidR="006243B6" w:rsidRPr="00690781">
        <w:rPr>
          <w:rFonts w:ascii="Times New Roman" w:hAnsi="Times New Roman" w:cs="Times New Roman"/>
          <w:sz w:val="24"/>
          <w:szCs w:val="24"/>
        </w:rPr>
        <w:fldChar w:fldCharType="begin" w:fldLock="1"/>
      </w:r>
      <w:r w:rsidR="006243B6" w:rsidRPr="00690781">
        <w:rPr>
          <w:rFonts w:ascii="Times New Roman" w:hAnsi="Times New Roman" w:cs="Times New Roman"/>
          <w:sz w:val="24"/>
          <w:szCs w:val="24"/>
        </w:rPr>
        <w:instrText>ADDIN CSL_CITATION {"citationItems":[{"id":"ITEM-1","itemData":{"DOI":"10.1002/mar.10063","ISSN":"0742-6046","abstract":"Abstract The authors investigate the impact of satisfaction on loyalty in the context of electronic commerce. Findings of this research indicate that although e?satisfaction has an impact on e?loyalty, this relationship is moderated by (a) consumers' individual level factors and (b) firms' business level factors. Among consumer level factors, convenience motivation and purchase size were found to accentuate the impact of e?satisfaction on e?loyalty, whereas inertia suppresses the impact of e?satisfaction on e?loyalty. With respect to business level factors, both trust and perceived value, as developed by the company, significantly accentuate the impact of e?satisfaction on e?loyalty. ? 2003 Wiley Periodicals, Inc.","author":[{"dropping-particle":"","family":"Rolph","given":"E Anderson","non-dropping-particle":"","parse-names":false,"suffix":""},{"dropping-particle":"","family":"Srinivasan","given":"S Srini","non-dropping-particle":"","parse-names":false,"suffix":""}],"container-title":"Psychology &amp; Marketing","id":"ITEM-1","issue":"2","issued":{"date-parts":[["2003","1","17"]]},"note":"doi: 10.1002/mar.10063","page":"123-138","publisher":"Wiley-Blackwell","title":"E‐satisfaction and e‐loyalty: A contingency framework","type":"article-journal","volume":"20"},"uris":["http://www.mendeley.com/documents/?uuid=35970e43-97de-4321-87a5-26c9a1c7d84d"]}],"mendeley":{"formattedCitation":"(Rolph &amp; Srinivasan, 2003)","plainTextFormattedCitation":"(Rolph &amp; Srinivasan, 2003)","previouslyFormattedCitation":"(Rolph &amp; Srinivasan, 2003)"},"properties":{"noteIndex":0},"schema":"https://github.com/citation-style-language/schema/raw/master/csl-citation.json"}</w:instrText>
      </w:r>
      <w:r w:rsidR="006243B6" w:rsidRPr="00690781">
        <w:rPr>
          <w:rFonts w:ascii="Times New Roman" w:hAnsi="Times New Roman" w:cs="Times New Roman"/>
          <w:sz w:val="24"/>
          <w:szCs w:val="24"/>
        </w:rPr>
        <w:fldChar w:fldCharType="separate"/>
      </w:r>
      <w:r w:rsidR="006243B6" w:rsidRPr="00690781">
        <w:rPr>
          <w:rFonts w:ascii="Times New Roman" w:hAnsi="Times New Roman" w:cs="Times New Roman"/>
          <w:noProof/>
          <w:sz w:val="24"/>
          <w:szCs w:val="24"/>
        </w:rPr>
        <w:t>(Rolph &amp; Srinivasan, 2003)</w:t>
      </w:r>
      <w:r w:rsidR="006243B6" w:rsidRPr="00690781">
        <w:rPr>
          <w:rFonts w:ascii="Times New Roman" w:hAnsi="Times New Roman" w:cs="Times New Roman"/>
          <w:sz w:val="24"/>
          <w:szCs w:val="24"/>
        </w:rPr>
        <w:fldChar w:fldCharType="end"/>
      </w:r>
      <w:r w:rsidR="006243B6" w:rsidRPr="00690781">
        <w:rPr>
          <w:rFonts w:ascii="Times New Roman" w:hAnsi="Times New Roman" w:cs="Times New Roman"/>
          <w:sz w:val="24"/>
          <w:szCs w:val="24"/>
        </w:rPr>
        <w:t xml:space="preserve">. Conversely, satisfaction can also increase trust in the company </w:t>
      </w:r>
      <w:r w:rsidR="006243B6" w:rsidRPr="00690781">
        <w:rPr>
          <w:rFonts w:ascii="Times New Roman" w:hAnsi="Times New Roman" w:cs="Times New Roman"/>
          <w:sz w:val="24"/>
          <w:szCs w:val="24"/>
        </w:rPr>
        <w:fldChar w:fldCharType="begin" w:fldLock="1"/>
      </w:r>
      <w:r w:rsidR="006243B6" w:rsidRPr="00690781">
        <w:rPr>
          <w:rFonts w:ascii="Times New Roman" w:hAnsi="Times New Roman" w:cs="Times New Roman"/>
          <w:sz w:val="24"/>
          <w:szCs w:val="24"/>
        </w:rPr>
        <w:instrText>ADDIN CSL_CITATION {"citationItems":[{"id":"ITEM-1","itemData":{"DOI":"10.24940/theijhss/2022/v10/i6/hs2204-020","abstract":"BackgroundOrganisations, as open systems, have a duty to carry out their operations with a community of stakeholders in mind; this underscores the essence of the concept of 'Corporate Citizen' which is key in the efforts by such entities to distinguish their 'Brand' from the competition. The establishment of brand image and brand loyalty is not so easy, and enterprises should implement Corporate Social Responsibility (CSR) and other practical activities to build trust, improve consumer satisfaction and as such enhance consumer loyalty to their brands (Ahmed et al., 2020;Sürücü et al., 2019).Corporate Social Responsibility (CSR) for most organisations was once a purely philanthropic activity to arouse public goodwill with no consequence on profitability. However, the perception has changed with CSR programmes ranking high on the corporate plans of most organisations (Kamau and Anami, 2010).In recent times, research has shown that organisations, that blend their marketing activities with Corporate Social Responsibility activities, normally improve in a significant way their corporate identity and reputation or image. Moreover, when their CSR accomplishments and activities are linked to the social needs of the community where they operate, they improve even more their marketing activities such as the brand image of their products or services (Sen et al., 2006).Furthermore, the CSR initiatives made by organisations can help considerably to stand out their products and services from the ones made by their main competitors, through the creation of an image of the positive brand and a higher level of corporate reputation (Ker-Tah, 2012). In order to do this, the Management of organisations have to adopt and implement CSR activities, and actions as well as integrate differentiation business strategies and invest in the","author":[{"dropping-particle":"","family":"Yussif","given":"Abdul- Majeed","non-dropping-particle":"","parse-names":false,"suffix":""},{"dropping-particle":"","family":"Belko","given":"Sauda","non-dropping-particle":"","parse-names":false,"suffix":""},{"dropping-particle":"","family":"Oavare","given":"Ophelia Philomena","non-dropping-particle":"","parse-names":false,"suffix":""}],"container-title":"The International Journal of Humanities &amp;Amp; Social Studies","id":"ITEM-1","issued":{"date-parts":[["2022"]]},"title":"CSR as an Elixir for Enhanced Corporate Image: Experiences From the University for Development Studies, Tamale and  C.K. Tedam University of Technology and Applied  Sciences, Navrongo, Ghana","type":"article-journal"},"uris":["http://www.mendeley.com/documents/?uuid=e7ae2530-0ea6-40a8-8670-1211123dab78"]}],"mendeley":{"formattedCitation":"(Yussif et al., 2022)","plainTextFormattedCitation":"(Yussif et al., 2022)","previouslyFormattedCitation":"(Yussif et al., 2022)"},"properties":{"noteIndex":0},"schema":"https://github.com/citation-style-language/schema/raw/master/csl-citation.json"}</w:instrText>
      </w:r>
      <w:r w:rsidR="006243B6" w:rsidRPr="00690781">
        <w:rPr>
          <w:rFonts w:ascii="Times New Roman" w:hAnsi="Times New Roman" w:cs="Times New Roman"/>
          <w:sz w:val="24"/>
          <w:szCs w:val="24"/>
        </w:rPr>
        <w:fldChar w:fldCharType="separate"/>
      </w:r>
      <w:r w:rsidR="006243B6" w:rsidRPr="00690781">
        <w:rPr>
          <w:rFonts w:ascii="Times New Roman" w:hAnsi="Times New Roman" w:cs="Times New Roman"/>
          <w:noProof/>
          <w:sz w:val="24"/>
          <w:szCs w:val="24"/>
        </w:rPr>
        <w:t>(Yussif et al., 2022)</w:t>
      </w:r>
      <w:r w:rsidR="006243B6" w:rsidRPr="00690781">
        <w:rPr>
          <w:rFonts w:ascii="Times New Roman" w:hAnsi="Times New Roman" w:cs="Times New Roman"/>
          <w:sz w:val="24"/>
          <w:szCs w:val="24"/>
        </w:rPr>
        <w:fldChar w:fldCharType="end"/>
      </w:r>
      <w:r w:rsidR="006243B6" w:rsidRPr="00690781">
        <w:rPr>
          <w:rFonts w:ascii="Times New Roman" w:hAnsi="Times New Roman" w:cs="Times New Roman"/>
          <w:sz w:val="24"/>
          <w:szCs w:val="24"/>
        </w:rPr>
        <w:t xml:space="preserve">. A study by </w:t>
      </w:r>
      <w:r w:rsidR="006243B6" w:rsidRPr="00690781">
        <w:rPr>
          <w:rFonts w:ascii="Times New Roman" w:hAnsi="Times New Roman" w:cs="Times New Roman"/>
          <w:sz w:val="24"/>
          <w:szCs w:val="24"/>
        </w:rPr>
        <w:fldChar w:fldCharType="begin" w:fldLock="1"/>
      </w:r>
      <w:r w:rsidR="006243B6" w:rsidRPr="00690781">
        <w:rPr>
          <w:rFonts w:ascii="Times New Roman" w:hAnsi="Times New Roman" w:cs="Times New Roman"/>
          <w:sz w:val="24"/>
          <w:szCs w:val="24"/>
        </w:rPr>
        <w:instrText>ADDIN CSL_CITATION {"citationItems":[{"id":"ITEM-1","itemData":{"author":[{"dropping-particle":"","family":"Setyaningsih","given":"Oktania","non-dropping-particle":"","parse-names":false,"suffix":""}],"container-title":"Jurnal Bisnis &amp; Manajemen","id":"ITEM-1","issue":"1","issued":{"date-parts":[["2014"]]},"page":"67-80","title":"Pengaruh Persepsi Kualitas Pelayanan E-Commerce Terhadap Kepuasan Pelanggan, Kepercayaan dan Loyalitas pada Produk Fashion","type":"article-journal","volume":"14"},"uris":["http://www.mendeley.com/documents/?uuid=7612ffad-4524-4de9-b1b6-3e8127c10b6f"]}],"mendeley":{"formattedCitation":"(Setyaningsih, 2014)","manualFormatting":"Setyaningsih (2014)","plainTextFormattedCitation":"(Setyaningsih, 2014)","previouslyFormattedCitation":"(Setyaningsih, 2014)"},"properties":{"noteIndex":0},"schema":"https://github.com/citation-style-language/schema/raw/master/csl-citation.json"}</w:instrText>
      </w:r>
      <w:r w:rsidR="006243B6" w:rsidRPr="00690781">
        <w:rPr>
          <w:rFonts w:ascii="Times New Roman" w:hAnsi="Times New Roman" w:cs="Times New Roman"/>
          <w:sz w:val="24"/>
          <w:szCs w:val="24"/>
        </w:rPr>
        <w:fldChar w:fldCharType="separate"/>
      </w:r>
      <w:r w:rsidR="006243B6" w:rsidRPr="00690781">
        <w:rPr>
          <w:rFonts w:ascii="Times New Roman" w:hAnsi="Times New Roman" w:cs="Times New Roman"/>
          <w:noProof/>
          <w:sz w:val="24"/>
          <w:szCs w:val="24"/>
        </w:rPr>
        <w:t>Setyaningsih (2014)</w:t>
      </w:r>
      <w:r w:rsidR="006243B6" w:rsidRPr="00690781">
        <w:rPr>
          <w:rFonts w:ascii="Times New Roman" w:hAnsi="Times New Roman" w:cs="Times New Roman"/>
          <w:sz w:val="24"/>
          <w:szCs w:val="24"/>
        </w:rPr>
        <w:fldChar w:fldCharType="end"/>
      </w:r>
      <w:r w:rsidR="006243B6" w:rsidRPr="00690781">
        <w:rPr>
          <w:rFonts w:ascii="Times New Roman" w:hAnsi="Times New Roman" w:cs="Times New Roman"/>
          <w:sz w:val="24"/>
          <w:szCs w:val="24"/>
        </w:rPr>
        <w:t xml:space="preserve"> found that trust is particularly important when decisions involve expanding the scope of the relationship, while satisfaction is more important for relationship continuity.</w:t>
      </w:r>
      <w:r w:rsidR="006243B6" w:rsidRPr="006243B6">
        <w:rPr>
          <w:rFonts w:ascii="Times New Roman" w:hAnsi="Times New Roman" w:cs="Times New Roman"/>
          <w:sz w:val="24"/>
          <w:szCs w:val="24"/>
        </w:rPr>
        <w:t xml:space="preserve"> </w:t>
      </w:r>
      <w:r w:rsidR="007D185C">
        <w:rPr>
          <w:rFonts w:ascii="Times New Roman" w:hAnsi="Times New Roman" w:cs="Times New Roman"/>
          <w:sz w:val="24"/>
          <w:szCs w:val="24"/>
        </w:rPr>
        <w:t>T</w:t>
      </w:r>
      <w:r w:rsidR="006243B6" w:rsidRPr="006243B6">
        <w:rPr>
          <w:rFonts w:ascii="Times New Roman" w:hAnsi="Times New Roman" w:cs="Times New Roman"/>
          <w:sz w:val="24"/>
          <w:szCs w:val="24"/>
        </w:rPr>
        <w:t xml:space="preserve">rust and satisfaction are complementary concepts important for successful business relationships, especially in online businesses that do not meet directly with the seller and the product </w:t>
      </w:r>
      <w:r w:rsidR="006243B6">
        <w:rPr>
          <w:rFonts w:ascii="Times New Roman" w:hAnsi="Times New Roman" w:cs="Times New Roman"/>
          <w:sz w:val="24"/>
          <w:szCs w:val="24"/>
        </w:rPr>
        <w:fldChar w:fldCharType="begin" w:fldLock="1"/>
      </w:r>
      <w:r w:rsidR="00690781">
        <w:rPr>
          <w:rFonts w:ascii="Times New Roman" w:hAnsi="Times New Roman" w:cs="Times New Roman"/>
          <w:sz w:val="24"/>
          <w:szCs w:val="24"/>
        </w:rPr>
        <w:instrText>ADDIN CSL_CITATION {"citationItems":[{"id":"ITEM-1","itemData":{"ISSN":"18173195","abstract":"Customer e-loyalty is an important issue in the very competitive environment of e-banking. Different studies show that e-loyalty is influenced by e-satisfaction, e-trust and e-service quality. However, little attention has been given in the literature to fully understand the full relationships among them. The purpose of this study is to empirically investigate the impacts of e-satisfaction, e-trust and e-service quality on eloyalty, in e-banking as an aspect of B2C e-commerce context. Data was collected to test the model from faculties and students of Tehran universities as respondents, and empirical analyses were performed using SEM. The analytical results indicate that although service quality, e-satisfaction, and e-trust have strong direct effect on e-loyalty, impacts of indirect effects (with e-satisfaction and e-trust playing mediating roles) are more significant. Additionally, this study represents a framework that indicates the full relationship among the three factors and their (direct and indirect) effects on e-loyalty, a phenomenon that has not previously been explored. © 2005 - 2011 JATIT &amp; LLS. All rights reserved.","author":[{"dropping-particle":"","family":"Ghane","given":"Soheila","non-dropping-particle":"","parse-names":false,"suffix":""},{"dropping-particle":"","family":"Fathian","given":"M.","non-dropping-particle":"","parse-names":false,"suffix":""},{"dropping-particle":"","family":"Gholamian","given":"M. R.","non-dropping-particle":"","parse-names":false,"suffix":""}],"container-title":"Journal of Theoretical and Applied Information Technology","id":"ITEM-1","issue":"1","issued":{"date-parts":[["2011"]]},"page":"1-6","title":"Full relationship among e-satisfaction, e-trust, e-service quality, and e-loyalty: The case of Iran e-banking","type":"article-journal","volume":"33"},"uris":["http://www.mendeley.com/documents/?uuid=8effaf8f-2666-4815-968f-e10a2081c00e"]}],"mendeley":{"formattedCitation":"(Ghane et al., 2011)","plainTextFormattedCitation":"(Ghane et al., 2011)","previouslyFormattedCitation":"(Ghane et al., 2011)"},"properties":{"noteIndex":0},"schema":"https://github.com/citation-style-language/schema/raw/master/csl-citation.json"}</w:instrText>
      </w:r>
      <w:r w:rsidR="006243B6">
        <w:rPr>
          <w:rFonts w:ascii="Times New Roman" w:hAnsi="Times New Roman" w:cs="Times New Roman"/>
          <w:sz w:val="24"/>
          <w:szCs w:val="24"/>
        </w:rPr>
        <w:fldChar w:fldCharType="separate"/>
      </w:r>
      <w:r w:rsidR="006243B6" w:rsidRPr="006243B6">
        <w:rPr>
          <w:rFonts w:ascii="Times New Roman" w:hAnsi="Times New Roman" w:cs="Times New Roman"/>
          <w:noProof/>
          <w:sz w:val="24"/>
          <w:szCs w:val="24"/>
        </w:rPr>
        <w:t>(Ghane et al., 2011)</w:t>
      </w:r>
      <w:r w:rsidR="006243B6">
        <w:rPr>
          <w:rFonts w:ascii="Times New Roman" w:hAnsi="Times New Roman" w:cs="Times New Roman"/>
          <w:sz w:val="24"/>
          <w:szCs w:val="24"/>
        </w:rPr>
        <w:fldChar w:fldCharType="end"/>
      </w:r>
      <w:r w:rsidR="006243B6" w:rsidRPr="006243B6">
        <w:rPr>
          <w:rFonts w:ascii="Times New Roman" w:hAnsi="Times New Roman" w:cs="Times New Roman"/>
          <w:sz w:val="24"/>
          <w:szCs w:val="24"/>
        </w:rPr>
        <w:t>.</w:t>
      </w:r>
    </w:p>
    <w:p w14:paraId="5F78B540" w14:textId="46919D30" w:rsidR="00690781" w:rsidRPr="00234FFB" w:rsidRDefault="00690781" w:rsidP="00690781">
      <w:pPr>
        <w:spacing w:after="0" w:line="240" w:lineRule="auto"/>
        <w:jc w:val="both"/>
        <w:rPr>
          <w:rFonts w:ascii="Times New Roman" w:hAnsi="Times New Roman" w:cs="Times New Roman"/>
          <w:sz w:val="24"/>
          <w:szCs w:val="24"/>
        </w:rPr>
      </w:pPr>
      <w:r w:rsidRPr="00234FFB">
        <w:rPr>
          <w:rFonts w:ascii="Times New Roman" w:hAnsi="Times New Roman" w:cs="Times New Roman"/>
          <w:sz w:val="24"/>
          <w:lang w:eastAsia="ja-JP"/>
        </w:rPr>
        <w:t xml:space="preserve">Hypotheses </w:t>
      </w:r>
      <w:r>
        <w:rPr>
          <w:rFonts w:ascii="Times New Roman" w:hAnsi="Times New Roman" w:cs="Times New Roman"/>
          <w:sz w:val="24"/>
          <w:lang w:eastAsia="ja-JP"/>
        </w:rPr>
        <w:t>3</w:t>
      </w:r>
      <w:r w:rsidRPr="00234FFB">
        <w:rPr>
          <w:rFonts w:ascii="Times New Roman" w:hAnsi="Times New Roman" w:cs="Times New Roman"/>
          <w:sz w:val="24"/>
          <w:lang w:eastAsia="ja-JP"/>
        </w:rPr>
        <w:t xml:space="preserve">. </w:t>
      </w:r>
      <w:r>
        <w:rPr>
          <w:rFonts w:ascii="Times New Roman" w:hAnsi="Times New Roman" w:cs="Times New Roman"/>
          <w:sz w:val="24"/>
          <w:lang w:eastAsia="ja-JP"/>
        </w:rPr>
        <w:t>Trust</w:t>
      </w:r>
      <w:r w:rsidRPr="00234FFB">
        <w:rPr>
          <w:rFonts w:ascii="Times New Roman" w:hAnsi="Times New Roman" w:cs="Times New Roman"/>
          <w:sz w:val="24"/>
          <w:lang w:eastAsia="ja-JP"/>
        </w:rPr>
        <w:t xml:space="preserve"> will be significantly related to </w:t>
      </w:r>
      <w:r>
        <w:rPr>
          <w:rFonts w:ascii="Times New Roman" w:hAnsi="Times New Roman" w:cs="Times New Roman"/>
          <w:sz w:val="24"/>
          <w:lang w:eastAsia="ja-JP"/>
        </w:rPr>
        <w:t>satisfaction</w:t>
      </w:r>
      <w:r w:rsidRPr="00234FFB">
        <w:rPr>
          <w:rFonts w:ascii="Times New Roman" w:hAnsi="Times New Roman" w:cs="Times New Roman"/>
          <w:sz w:val="24"/>
          <w:lang w:eastAsia="ja-JP"/>
        </w:rPr>
        <w:t>.</w:t>
      </w:r>
    </w:p>
    <w:p w14:paraId="4AA1B5A4" w14:textId="77777777" w:rsidR="004378E2" w:rsidRDefault="004378E2" w:rsidP="004378E2">
      <w:pPr>
        <w:spacing w:after="0" w:line="240" w:lineRule="auto"/>
        <w:jc w:val="both"/>
        <w:rPr>
          <w:rFonts w:ascii="Times New Roman" w:eastAsia="Times New Roman" w:hAnsi="Times New Roman" w:cs="Times New Roman"/>
          <w:sz w:val="24"/>
          <w:szCs w:val="24"/>
        </w:rPr>
      </w:pPr>
    </w:p>
    <w:p w14:paraId="74813F2A" w14:textId="6BFF893D" w:rsidR="004378E2" w:rsidRDefault="004378E2" w:rsidP="00A51C04">
      <w:pPr>
        <w:pStyle w:val="Heading2"/>
        <w:spacing w:after="0"/>
      </w:pPr>
      <w:r>
        <w:t>Privacy cynicism</w:t>
      </w:r>
    </w:p>
    <w:p w14:paraId="1351B568" w14:textId="52D6ECC1" w:rsidR="00BB2FA6" w:rsidRDefault="00A47E9E" w:rsidP="00BB2FA6">
      <w:pPr>
        <w:spacing w:after="0"/>
        <w:ind w:firstLine="284"/>
        <w:jc w:val="both"/>
        <w:rPr>
          <w:rFonts w:ascii="Times New Roman" w:hAnsi="Times New Roman" w:cs="Times New Roman"/>
          <w:sz w:val="24"/>
          <w:szCs w:val="24"/>
        </w:rPr>
      </w:pPr>
      <w:r w:rsidRPr="00A47E9E">
        <w:rPr>
          <w:rFonts w:ascii="Times New Roman" w:eastAsia="Times New Roman" w:hAnsi="Times New Roman" w:cs="Times New Roman"/>
          <w:sz w:val="24"/>
          <w:szCs w:val="24"/>
        </w:rPr>
        <w:t>Privacy cynicism is a concept introduced by</w:t>
      </w:r>
      <w:r w:rsidR="00BB2FA6">
        <w:rPr>
          <w:rFonts w:ascii="Times New Roman" w:eastAsia="Times New Roman" w:hAnsi="Times New Roman" w:cs="Times New Roman"/>
          <w:sz w:val="24"/>
          <w:szCs w:val="24"/>
        </w:rPr>
        <w:t xml:space="preserve"> </w:t>
      </w:r>
      <w:r w:rsidR="00BB2FA6">
        <w:rPr>
          <w:rFonts w:ascii="Times New Roman" w:eastAsia="Times New Roman" w:hAnsi="Times New Roman" w:cs="Times New Roman"/>
          <w:sz w:val="24"/>
          <w:szCs w:val="24"/>
        </w:rPr>
        <w:fldChar w:fldCharType="begin" w:fldLock="1"/>
      </w:r>
      <w:r w:rsidR="00BB2FA6">
        <w:rPr>
          <w:rFonts w:ascii="Times New Roman" w:eastAsia="Times New Roman" w:hAnsi="Times New Roman" w:cs="Times New Roman"/>
          <w:sz w:val="24"/>
          <w:szCs w:val="24"/>
        </w:rPr>
        <w:instrText>ADDIN CSL_CITATION {"citationItems":[{"id":"ITEM-1","itemData":{"DOI":"10.5817/cp2016-4-7","abstract":"Abstract","author":[{"dropping-particle":"","family":"Hoffmann","given":"Christian","non-dropping-particle":"","parse-names":false,"suffix":""},{"dropping-particle":"","family":"Lutz","given":"Christoph","non-dropping-particle":"","parse-names":false,"suffix":""},{"dropping-particle":"","family":"Ranzini","given":"Giulia","non-dropping-particle":"","parse-names":false,"suffix":""}],"container-title":"Cyberpsychology Journal of Psychosocial Research on Cyberspace","id":"ITEM-1","issued":{"date-parts":[["2016"]]},"title":"Privacy Cynicism: A New Approach to the Privacy Paradox","type":"article-journal"},"uris":["http://www.mendeley.com/documents/?uuid=cc941243-eb1e-4aeb-a609-782e0d73ce31"]}],"mendeley":{"formattedCitation":"(C. Hoffmann et al., 2016)","manualFormatting":"Hoffmann et al. (2016)","plainTextFormattedCitation":"(C. Hoffmann et al., 2016)","previouslyFormattedCitation":"(C. Hoffmann et al., 2016)"},"properties":{"noteIndex":0},"schema":"https://github.com/citation-style-language/schema/raw/master/csl-citation.json"}</w:instrText>
      </w:r>
      <w:r w:rsidR="00BB2FA6">
        <w:rPr>
          <w:rFonts w:ascii="Times New Roman" w:eastAsia="Times New Roman" w:hAnsi="Times New Roman" w:cs="Times New Roman"/>
          <w:sz w:val="24"/>
          <w:szCs w:val="24"/>
        </w:rPr>
        <w:fldChar w:fldCharType="separate"/>
      </w:r>
      <w:r w:rsidR="00BB2FA6" w:rsidRPr="00BB2FA6">
        <w:rPr>
          <w:rFonts w:ascii="Times New Roman" w:eastAsia="Times New Roman" w:hAnsi="Times New Roman" w:cs="Times New Roman"/>
          <w:noProof/>
          <w:sz w:val="24"/>
          <w:szCs w:val="24"/>
        </w:rPr>
        <w:t xml:space="preserve">Hoffmann et al. </w:t>
      </w:r>
      <w:r w:rsidR="00BB2FA6">
        <w:rPr>
          <w:rFonts w:ascii="Times New Roman" w:eastAsia="Times New Roman" w:hAnsi="Times New Roman" w:cs="Times New Roman"/>
          <w:noProof/>
          <w:sz w:val="24"/>
          <w:szCs w:val="24"/>
        </w:rPr>
        <w:t>(</w:t>
      </w:r>
      <w:r w:rsidR="00BB2FA6" w:rsidRPr="00BB2FA6">
        <w:rPr>
          <w:rFonts w:ascii="Times New Roman" w:eastAsia="Times New Roman" w:hAnsi="Times New Roman" w:cs="Times New Roman"/>
          <w:noProof/>
          <w:sz w:val="24"/>
          <w:szCs w:val="24"/>
        </w:rPr>
        <w:t>2016)</w:t>
      </w:r>
      <w:r w:rsidR="00BB2FA6">
        <w:rPr>
          <w:rFonts w:ascii="Times New Roman" w:eastAsia="Times New Roman" w:hAnsi="Times New Roman" w:cs="Times New Roman"/>
          <w:sz w:val="24"/>
          <w:szCs w:val="24"/>
        </w:rPr>
        <w:fldChar w:fldCharType="end"/>
      </w:r>
      <w:r w:rsidRPr="00A47E9E">
        <w:rPr>
          <w:rFonts w:ascii="Times New Roman" w:eastAsia="Times New Roman" w:hAnsi="Times New Roman" w:cs="Times New Roman"/>
          <w:sz w:val="24"/>
          <w:szCs w:val="24"/>
        </w:rPr>
        <w:t xml:space="preserve"> to explain the divergence between users</w:t>
      </w:r>
      <w:r w:rsidR="002E6C2A">
        <w:rPr>
          <w:rFonts w:ascii="Times New Roman" w:eastAsia="Times New Roman" w:hAnsi="Times New Roman" w:cs="Times New Roman"/>
          <w:sz w:val="24"/>
          <w:szCs w:val="24"/>
        </w:rPr>
        <w:t>'</w:t>
      </w:r>
      <w:r w:rsidRPr="00A47E9E">
        <w:rPr>
          <w:rFonts w:ascii="Times New Roman" w:eastAsia="Times New Roman" w:hAnsi="Times New Roman" w:cs="Times New Roman"/>
          <w:sz w:val="24"/>
          <w:szCs w:val="24"/>
        </w:rPr>
        <w:t xml:space="preserve"> high privacy concerns and their lack of corresponding privacy protection behavior</w:t>
      </w:r>
      <w:r w:rsidR="00BB2FA6">
        <w:rPr>
          <w:rFonts w:ascii="Times New Roman" w:eastAsia="Times New Roman" w:hAnsi="Times New Roman" w:cs="Times New Roman"/>
          <w:sz w:val="24"/>
          <w:szCs w:val="24"/>
        </w:rPr>
        <w:t xml:space="preserve"> </w:t>
      </w:r>
      <w:r w:rsidR="00BB2FA6" w:rsidRPr="00BB2FA6">
        <w:rPr>
          <w:rFonts w:ascii="Times New Roman" w:eastAsia="Times New Roman" w:hAnsi="Times New Roman" w:cs="Times New Roman"/>
          <w:sz w:val="24"/>
          <w:szCs w:val="24"/>
        </w:rPr>
        <w:fldChar w:fldCharType="begin" w:fldLock="1"/>
      </w:r>
      <w:r w:rsidR="00BB2FA6" w:rsidRPr="00BB2FA6">
        <w:rPr>
          <w:rFonts w:ascii="Times New Roman" w:eastAsia="Times New Roman" w:hAnsi="Times New Roman" w:cs="Times New Roman"/>
          <w:sz w:val="24"/>
          <w:szCs w:val="24"/>
        </w:rPr>
        <w:instrText>ADDIN CSL_CITATION {"citationItems":[{"id":"ITEM-1","itemData":{"DOI":"10.14329/apjis.2020.30.3.547","author":[{"dropping-particle":"","family":"Choi","given":"Hanbyul","non-dropping-particle":"","parse-names":false,"suffix":""},{"dropping-particle":"","family":"Jung","given":"Yoonhyuk","non-dropping-particle":"","parse-names":false,"suffix":""}],"container-title":"Asia Pacific Journal of Information Systems","id":"ITEM-1","issued":{"date-parts":[["2020"]]},"title":"Online Users’ Cynical Attitudes Towards Privacy Protection : Examining Privacy Cynicism","type":"article-journal"},"uris":["http://www.mendeley.com/documents/?uuid=bddbe45f-6220-47a9-b5c0-267301f6073c"]},{"id":"ITEM-2","itemData":{"DOI":"10.1080/10447318.2021.1987677","ISSN":"15327590","abstract":"This study aims to understand the drivers behind the usage habits of voice assistants (VAs). To do so, we extend the Technology Acceptance Model in conjunction with the concept of privacy cynicism, a cognitive process that remains understudied in the academic literature. The model is validated using PLS analysis through Smart-PLS. Data gathered via MTurk includes 265 actual VAs users. It is observed that ease of use and perceived usefulness have a positive impact on attitude toward the usage of VAs, while privacy cynicism has a negative impact. Moreover, it is found that privacy cynicism has a positive impact on trust based on the usage of VAs. Interestingly, attitudes toward the usage of VAs does not fully explain the consumers’ VA usage habits.","author":[{"dropping-particle":"","family":"Acikgoz","given":"Fulya","non-dropping-particle":"","parse-names":false,"suffix":""},{"dropping-particle":"","family":"Vega","given":"Rodrigo Perez","non-dropping-particle":"","parse-names":false,"suffix":""}],"container-title":"International Journal of Human-Computer Interaction","id":"ITEM-2","issue":"12","issued":{"date-parts":[["2022"]]},"page":"1138-1152","publisher":"Taylor &amp; Francis","title":"The Role of Privacy Cynicism in Consumer Habits with Voice Assistants: A Technology Acceptance Model Perspective","type":"article-journal","volume":"38"},"uris":["http://www.mendeley.com/documents/?uuid=82f729cb-f45d-4d64-873b-c7c27ea0e80b"]},{"id":"ITEM-3","itemData":{"DOI":"10.1016/j.chb.2022.107638","ISSN":"07475632","abstract":"In this era of virtual communication, online user's attitudes towards privacy have attracted the attention of social media researchers and practitioners as they continued to debate whether “online privacy” is an obsolete topic. While some scholars argued that individuals are deeply concerned about their online privacy, others have suggested that despite being cynical about the practises of social media companies, users were happy to disclose personal information in exchange for small rewards. There is consequently a gap between perceptions and practises when it comes to online privacy. Grounded on Expectation Confirmation Theory (ECM), we surveyed 475 social media users to help determine whether privacy cynicism is negatively related to satisfaction and trust in social media. Results indicated that privacy cynicism significantly affected users' satisfaction with social media. However, privacy cynicism did not significantly affect users' trust of social media. This research has important implications for post-technology adoption theories as well as for social media platforms, which would help users better understand public attitudes towards privacy and its impact on their satisfaction.","author":[{"dropping-particle":"","family":"Khan","given":"Md Irfanuzzaman","non-dropping-particle":"","parse-names":false,"suffix":""},{"dropping-particle":"","family":"Loh","given":"Jennifer (M I.).","non-dropping-particle":"","parse-names":false,"suffix":""},{"dropping-particle":"","family":"Hossain","given":"Afsana","non-dropping-particle":"","parse-names":false,"suffix":""},{"dropping-particle":"","family":"Hasan Talukder","given":"Md Jakir","non-dropping-particle":"","parse-names":false,"suffix":""}],"container-title":"Computers in Human Behavior","id":"ITEM-3","issue":"December 2022","issued":{"date-parts":[["2023"]]},"page":"107638","publisher":"Elsevier Ltd","title":"Cynicism as strength: Privacy cynicism, satisfaction and trust among social media users","type":"article-journal","volume":"142"},"uris":["http://www.mendeley.com/documents/?uuid=07dd37b2-b2b6-4f59-aec0-1d65f8428281"]}],"mendeley":{"formattedCitation":"(Acikgoz &amp; Vega, 2022; Choi &amp; Jung, 2020; Khan, Loh, Hossain, &amp; Hasan Talukder, 2023)","plainTextFormattedCitation":"(Acikgoz &amp; Vega, 2022; Choi &amp; Jung, 2020; Khan, Loh, Hossain, &amp; Hasan Talukder, 2023)","previouslyFormattedCitation":"(Acikgoz &amp; Vega, 2022; Choi &amp; Jung, 2020; Khan, Loh, Hossain, &amp; Hasan Talukder, 2023)"},"properties":{"noteIndex":0},"schema":"https://github.com/citation-style-language/schema/raw/master/csl-citation.json"}</w:instrText>
      </w:r>
      <w:r w:rsidR="00BB2FA6" w:rsidRPr="00BB2FA6">
        <w:rPr>
          <w:rFonts w:ascii="Times New Roman" w:eastAsia="Times New Roman" w:hAnsi="Times New Roman" w:cs="Times New Roman"/>
          <w:sz w:val="24"/>
          <w:szCs w:val="24"/>
        </w:rPr>
        <w:fldChar w:fldCharType="separate"/>
      </w:r>
      <w:r w:rsidR="00BB2FA6" w:rsidRPr="00BB2FA6">
        <w:rPr>
          <w:rFonts w:ascii="Times New Roman" w:eastAsia="Times New Roman" w:hAnsi="Times New Roman" w:cs="Times New Roman"/>
          <w:noProof/>
          <w:sz w:val="24"/>
          <w:szCs w:val="24"/>
        </w:rPr>
        <w:t>(Acikgoz &amp; Vega, 2022; Choi &amp; Jung, 2020; Khan, Loh, Hossain, &amp; Hasan Talukder, 2023)</w:t>
      </w:r>
      <w:r w:rsidR="00BB2FA6" w:rsidRPr="00BB2FA6">
        <w:rPr>
          <w:rFonts w:ascii="Times New Roman" w:eastAsia="Times New Roman" w:hAnsi="Times New Roman" w:cs="Times New Roman"/>
          <w:sz w:val="24"/>
          <w:szCs w:val="24"/>
        </w:rPr>
        <w:fldChar w:fldCharType="end"/>
      </w:r>
      <w:r w:rsidRPr="00BB2FA6">
        <w:rPr>
          <w:rFonts w:ascii="Times New Roman" w:eastAsia="Times New Roman" w:hAnsi="Times New Roman" w:cs="Times New Roman"/>
          <w:sz w:val="24"/>
          <w:szCs w:val="24"/>
        </w:rPr>
        <w:t xml:space="preserve">. They define privacy cynicism as </w:t>
      </w:r>
      <w:r w:rsidR="002E6C2A">
        <w:rPr>
          <w:rFonts w:ascii="Times New Roman" w:eastAsia="Times New Roman" w:hAnsi="Times New Roman" w:cs="Times New Roman"/>
          <w:sz w:val="24"/>
          <w:szCs w:val="24"/>
        </w:rPr>
        <w:t>"</w:t>
      </w:r>
      <w:r w:rsidRPr="00BB2FA6">
        <w:rPr>
          <w:rFonts w:ascii="Times New Roman" w:eastAsia="Times New Roman" w:hAnsi="Times New Roman" w:cs="Times New Roman"/>
          <w:sz w:val="24"/>
          <w:szCs w:val="24"/>
        </w:rPr>
        <w:t>an attitude of resigned neglect of privacy protection, which serves as a cognitive coping mechanism to rationali</w:t>
      </w:r>
      <w:r w:rsidR="00BB2FA6" w:rsidRPr="00BB2FA6">
        <w:rPr>
          <w:rFonts w:ascii="Times New Roman" w:eastAsia="Times New Roman" w:hAnsi="Times New Roman" w:cs="Times New Roman"/>
          <w:sz w:val="24"/>
          <w:szCs w:val="24"/>
        </w:rPr>
        <w:t>s</w:t>
      </w:r>
      <w:r w:rsidRPr="00BB2FA6">
        <w:rPr>
          <w:rFonts w:ascii="Times New Roman" w:eastAsia="Times New Roman" w:hAnsi="Times New Roman" w:cs="Times New Roman"/>
          <w:sz w:val="24"/>
          <w:szCs w:val="24"/>
        </w:rPr>
        <w:t>e taking advantage of online services despite serious privacy concerns</w:t>
      </w:r>
      <w:r w:rsidR="006243B6" w:rsidRPr="00BB2FA6">
        <w:rPr>
          <w:rFonts w:ascii="Times New Roman" w:eastAsia="Times New Roman" w:hAnsi="Times New Roman" w:cs="Times New Roman"/>
          <w:sz w:val="24"/>
          <w:szCs w:val="24"/>
        </w:rPr>
        <w:t xml:space="preserve"> </w:t>
      </w:r>
      <w:r w:rsidR="002E6C2A">
        <w:rPr>
          <w:rFonts w:ascii="Times New Roman" w:eastAsia="Times New Roman" w:hAnsi="Times New Roman" w:cs="Times New Roman"/>
          <w:sz w:val="24"/>
          <w:szCs w:val="24"/>
        </w:rPr>
        <w:t>"</w:t>
      </w:r>
      <w:r w:rsidR="00BB2FA6" w:rsidRPr="00BB2FA6">
        <w:rPr>
          <w:rFonts w:ascii="Times New Roman" w:eastAsia="Times New Roman" w:hAnsi="Times New Roman" w:cs="Times New Roman"/>
          <w:sz w:val="24"/>
          <w:szCs w:val="24"/>
        </w:rPr>
        <w:fldChar w:fldCharType="begin" w:fldLock="1"/>
      </w:r>
      <w:r w:rsidR="00BB2FA6" w:rsidRPr="00BB2FA6">
        <w:rPr>
          <w:rFonts w:ascii="Times New Roman" w:eastAsia="Times New Roman" w:hAnsi="Times New Roman" w:cs="Times New Roman"/>
          <w:sz w:val="24"/>
          <w:szCs w:val="24"/>
        </w:rPr>
        <w:instrText>ADDIN CSL_CITATION {"citationItems":[{"id":"ITEM-1","itemData":{"DOI":"10.5817/cp2016-4-7","abstract":"Abstract","author":[{"dropping-particle":"","family":"Hoffmann","given":"Christian","non-dropping-particle":"","parse-names":false,"suffix":""},{"dropping-particle":"","family":"Lutz","given":"Christoph","non-dropping-particle":"","parse-names":false,"suffix":""},{"dropping-particle":"","family":"Ranzini","given":"Giulia","non-dropping-particle":"","parse-names":false,"suffix":""}],"container-title":"Cyberpsychology Journal of Psychosocial Research on Cyberspace","id":"ITEM-1","issued":{"date-parts":[["2016"]]},"title":"Privacy Cynicism: A New Approach to the Privacy Paradox","type":"article-journal"},"uris":["http://www.mendeley.com/documents/?uuid=cc941243-eb1e-4aeb-a609-782e0d73ce31"]}],"mendeley":{"formattedCitation":"(C. Hoffmann et al., 2016)","manualFormatting":"(Hoffmann et al., 2016)","plainTextFormattedCitation":"(C. Hoffmann et al., 2016)","previouslyFormattedCitation":"(C. Hoffmann et al., 2016)"},"properties":{"noteIndex":0},"schema":"https://github.com/citation-style-language/schema/raw/master/csl-citation.json"}</w:instrText>
      </w:r>
      <w:r w:rsidR="00BB2FA6" w:rsidRPr="00BB2FA6">
        <w:rPr>
          <w:rFonts w:ascii="Times New Roman" w:eastAsia="Times New Roman" w:hAnsi="Times New Roman" w:cs="Times New Roman"/>
          <w:sz w:val="24"/>
          <w:szCs w:val="24"/>
        </w:rPr>
        <w:fldChar w:fldCharType="separate"/>
      </w:r>
      <w:r w:rsidR="00BB2FA6" w:rsidRPr="00BB2FA6">
        <w:rPr>
          <w:rFonts w:ascii="Times New Roman" w:eastAsia="Times New Roman" w:hAnsi="Times New Roman" w:cs="Times New Roman"/>
          <w:noProof/>
          <w:sz w:val="24"/>
          <w:szCs w:val="24"/>
        </w:rPr>
        <w:t>(Hoffmann et al., 2016)</w:t>
      </w:r>
      <w:r w:rsidR="00BB2FA6" w:rsidRPr="00BB2FA6">
        <w:rPr>
          <w:rFonts w:ascii="Times New Roman" w:eastAsia="Times New Roman" w:hAnsi="Times New Roman" w:cs="Times New Roman"/>
          <w:sz w:val="24"/>
          <w:szCs w:val="24"/>
        </w:rPr>
        <w:fldChar w:fldCharType="end"/>
      </w:r>
      <w:r w:rsidRPr="00BB2FA6">
        <w:rPr>
          <w:rFonts w:ascii="Times New Roman" w:eastAsia="Times New Roman" w:hAnsi="Times New Roman" w:cs="Times New Roman"/>
          <w:sz w:val="24"/>
          <w:szCs w:val="24"/>
        </w:rPr>
        <w:t>.</w:t>
      </w:r>
      <w:r w:rsidR="00BB2FA6" w:rsidRPr="00BB2FA6">
        <w:rPr>
          <w:rFonts w:ascii="Times New Roman" w:eastAsia="Times New Roman" w:hAnsi="Times New Roman" w:cs="Times New Roman"/>
          <w:sz w:val="24"/>
          <w:szCs w:val="24"/>
        </w:rPr>
        <w:t xml:space="preserve"> </w:t>
      </w:r>
      <w:r w:rsidR="00BB2FA6">
        <w:rPr>
          <w:rFonts w:ascii="Times New Roman" w:eastAsia="Times New Roman" w:hAnsi="Times New Roman" w:cs="Times New Roman"/>
          <w:sz w:val="24"/>
          <w:szCs w:val="24"/>
        </w:rPr>
        <w:t>Their research</w:t>
      </w:r>
      <w:r w:rsidR="00BB2FA6" w:rsidRPr="00BB2FA6">
        <w:rPr>
          <w:rFonts w:ascii="Times New Roman" w:eastAsia="Times New Roman" w:hAnsi="Times New Roman" w:cs="Times New Roman"/>
          <w:sz w:val="24"/>
          <w:szCs w:val="24"/>
        </w:rPr>
        <w:t xml:space="preserve"> measured privacy cynicism using four indicators</w:t>
      </w:r>
      <w:r w:rsidR="00BB2FA6">
        <w:rPr>
          <w:rFonts w:ascii="Times New Roman" w:eastAsia="Times New Roman" w:hAnsi="Times New Roman" w:cs="Times New Roman"/>
          <w:sz w:val="24"/>
          <w:szCs w:val="24"/>
        </w:rPr>
        <w:t>:</w:t>
      </w:r>
      <w:r w:rsidR="00BB2FA6" w:rsidRPr="00BB2FA6">
        <w:rPr>
          <w:rFonts w:ascii="Times New Roman" w:eastAsia="Times New Roman" w:hAnsi="Times New Roman" w:cs="Times New Roman"/>
          <w:sz w:val="24"/>
          <w:szCs w:val="24"/>
        </w:rPr>
        <w:t xml:space="preserve"> </w:t>
      </w:r>
      <w:r w:rsidR="00BB2FA6" w:rsidRPr="00BB2FA6">
        <w:rPr>
          <w:rFonts w:ascii="Times New Roman" w:hAnsi="Times New Roman" w:cs="Times New Roman"/>
          <w:sz w:val="24"/>
          <w:szCs w:val="24"/>
        </w:rPr>
        <w:t>less interested, less enthusiastic, doubt, and more cynical.</w:t>
      </w:r>
    </w:p>
    <w:p w14:paraId="623488B0" w14:textId="4C683AC4" w:rsidR="00A47E9E" w:rsidRPr="00A47E9E" w:rsidRDefault="00A47E9E" w:rsidP="00BB2FA6">
      <w:pPr>
        <w:spacing w:after="0"/>
        <w:ind w:firstLine="284"/>
        <w:jc w:val="both"/>
        <w:rPr>
          <w:rFonts w:ascii="Times New Roman" w:eastAsia="Times New Roman" w:hAnsi="Times New Roman" w:cs="Times New Roman"/>
          <w:sz w:val="24"/>
          <w:szCs w:val="24"/>
        </w:rPr>
      </w:pPr>
      <w:r w:rsidRPr="00BB2FA6">
        <w:rPr>
          <w:rFonts w:ascii="Times New Roman" w:eastAsia="Times New Roman" w:hAnsi="Times New Roman" w:cs="Times New Roman"/>
          <w:sz w:val="24"/>
          <w:szCs w:val="24"/>
        </w:rPr>
        <w:t>The relationship between privacy cynicism</w:t>
      </w:r>
      <w:r w:rsidR="00BB2FA6" w:rsidRPr="00BB2FA6">
        <w:rPr>
          <w:rFonts w:ascii="Times New Roman" w:eastAsia="Times New Roman" w:hAnsi="Times New Roman" w:cs="Times New Roman"/>
          <w:sz w:val="24"/>
          <w:szCs w:val="24"/>
        </w:rPr>
        <w:t>, satisfaction,</w:t>
      </w:r>
      <w:r w:rsidRPr="00BB2FA6">
        <w:rPr>
          <w:rFonts w:ascii="Times New Roman" w:eastAsia="Times New Roman" w:hAnsi="Times New Roman" w:cs="Times New Roman"/>
          <w:sz w:val="24"/>
          <w:szCs w:val="24"/>
        </w:rPr>
        <w:t xml:space="preserve"> and trust is complex</w:t>
      </w:r>
      <w:r w:rsidR="00BB2FA6" w:rsidRPr="00BB2FA6">
        <w:rPr>
          <w:rFonts w:ascii="Times New Roman" w:eastAsia="Times New Roman" w:hAnsi="Times New Roman" w:cs="Times New Roman"/>
          <w:sz w:val="24"/>
          <w:szCs w:val="24"/>
        </w:rPr>
        <w:t xml:space="preserve"> </w:t>
      </w:r>
      <w:r w:rsidR="00BB2FA6" w:rsidRPr="00BB2FA6">
        <w:rPr>
          <w:rFonts w:ascii="Times New Roman" w:eastAsia="Times New Roman" w:hAnsi="Times New Roman" w:cs="Times New Roman"/>
          <w:sz w:val="24"/>
          <w:szCs w:val="24"/>
        </w:rPr>
        <w:fldChar w:fldCharType="begin" w:fldLock="1"/>
      </w:r>
      <w:r w:rsidR="00BB2FA6" w:rsidRPr="00BB2FA6">
        <w:rPr>
          <w:rFonts w:ascii="Times New Roman" w:eastAsia="Times New Roman" w:hAnsi="Times New Roman" w:cs="Times New Roman"/>
          <w:sz w:val="24"/>
          <w:szCs w:val="24"/>
        </w:rPr>
        <w:instrText>ADDIN CSL_CITATION {"citationItems":[{"id":"ITEM-1","itemData":{"DOI":"10.1016/j.chb.2022.107638","author":[{"dropping-particle":"","family":"Khan","given":"Md Irfanuzzaman","non-dropping-particle":"","parse-names":false,"suffix":""},{"dropping-particle":"","family":"Loh","given":"Jennifer","non-dropping-particle":"","parse-names":false,"suffix":""},{"dropping-particle":"","family":"Hossain","given":"Awlad","non-dropping-particle":"","parse-names":false,"suffix":""},{"dropping-particle":"","family":"Talukder","given":"Md Jakir Hasan","non-dropping-particle":"","parse-names":false,"suffix":""}],"container-title":"Computers in Human Behavior","id":"ITEM-1","issued":{"date-parts":[["2023"]]},"title":"Cynicism as Strength: Privacy Cynicism, Satisfaction and Trust Among Social Media Users","type":"article-journal"},"uris":["http://www.mendeley.com/documents/?uuid=162c4e2c-e40b-4517-9b79-42dd3d4ed10b"]}],"mendeley":{"formattedCitation":"(Khan, Loh, Hossain, &amp; Talukder, 2023)","plainTextFormattedCitation":"(Khan, Loh, Hossain, &amp; Talukder, 2023)","previouslyFormattedCitation":"(Khan, Loh, Hossain, &amp; Talukder, 2023)"},"properties":{"noteIndex":0},"schema":"https://github.com/citation-style-language/schema/raw/master/csl-citation.json"}</w:instrText>
      </w:r>
      <w:r w:rsidR="00BB2FA6" w:rsidRPr="00BB2FA6">
        <w:rPr>
          <w:rFonts w:ascii="Times New Roman" w:eastAsia="Times New Roman" w:hAnsi="Times New Roman" w:cs="Times New Roman"/>
          <w:sz w:val="24"/>
          <w:szCs w:val="24"/>
        </w:rPr>
        <w:fldChar w:fldCharType="separate"/>
      </w:r>
      <w:r w:rsidR="00BB2FA6" w:rsidRPr="00BB2FA6">
        <w:rPr>
          <w:rFonts w:ascii="Times New Roman" w:eastAsia="Times New Roman" w:hAnsi="Times New Roman" w:cs="Times New Roman"/>
          <w:noProof/>
          <w:sz w:val="24"/>
          <w:szCs w:val="24"/>
        </w:rPr>
        <w:t>(Khan, Loh, Hossain, &amp; Talukder, 2023)</w:t>
      </w:r>
      <w:r w:rsidR="00BB2FA6" w:rsidRPr="00BB2FA6">
        <w:rPr>
          <w:rFonts w:ascii="Times New Roman" w:eastAsia="Times New Roman" w:hAnsi="Times New Roman" w:cs="Times New Roman"/>
          <w:sz w:val="24"/>
          <w:szCs w:val="24"/>
        </w:rPr>
        <w:fldChar w:fldCharType="end"/>
      </w:r>
      <w:r w:rsidRPr="00BB2FA6">
        <w:rPr>
          <w:rFonts w:ascii="Times New Roman" w:eastAsia="Times New Roman" w:hAnsi="Times New Roman" w:cs="Times New Roman"/>
          <w:sz w:val="24"/>
          <w:szCs w:val="24"/>
        </w:rPr>
        <w:t>. On</w:t>
      </w:r>
      <w:r w:rsidR="00BB2FA6" w:rsidRPr="00BB2FA6">
        <w:rPr>
          <w:rFonts w:ascii="Times New Roman" w:eastAsia="Times New Roman" w:hAnsi="Times New Roman" w:cs="Times New Roman"/>
          <w:sz w:val="24"/>
          <w:szCs w:val="24"/>
        </w:rPr>
        <w:t xml:space="preserve"> the</w:t>
      </w:r>
      <w:r w:rsidRPr="00BB2FA6">
        <w:rPr>
          <w:rFonts w:ascii="Times New Roman" w:eastAsia="Times New Roman" w:hAnsi="Times New Roman" w:cs="Times New Roman"/>
          <w:sz w:val="24"/>
          <w:szCs w:val="24"/>
        </w:rPr>
        <w:t xml:space="preserve"> one hand, privacy cynicism can lead to decreased satisfaction and trust in online services as users become disillusioned with </w:t>
      </w:r>
      <w:r w:rsidR="00BB2FA6" w:rsidRPr="00BB2FA6">
        <w:rPr>
          <w:rFonts w:ascii="Times New Roman" w:eastAsia="Times New Roman" w:hAnsi="Times New Roman" w:cs="Times New Roman"/>
          <w:sz w:val="24"/>
          <w:szCs w:val="24"/>
        </w:rPr>
        <w:t>companies' privacy practic</w:t>
      </w:r>
      <w:r w:rsidRPr="00BB2FA6">
        <w:rPr>
          <w:rFonts w:ascii="Times New Roman" w:eastAsia="Times New Roman" w:hAnsi="Times New Roman" w:cs="Times New Roman"/>
          <w:sz w:val="24"/>
          <w:szCs w:val="24"/>
        </w:rPr>
        <w:t>es</w:t>
      </w:r>
      <w:r w:rsidR="00BB2FA6" w:rsidRPr="00BB2FA6">
        <w:rPr>
          <w:rFonts w:ascii="Times New Roman" w:eastAsia="Times New Roman" w:hAnsi="Times New Roman" w:cs="Times New Roman"/>
          <w:sz w:val="24"/>
          <w:szCs w:val="24"/>
        </w:rPr>
        <w:t xml:space="preserve"> </w:t>
      </w:r>
      <w:r w:rsidR="00BB2FA6" w:rsidRPr="00BB2FA6">
        <w:rPr>
          <w:rFonts w:ascii="Times New Roman" w:eastAsia="Times New Roman" w:hAnsi="Times New Roman" w:cs="Times New Roman"/>
          <w:sz w:val="24"/>
          <w:szCs w:val="24"/>
        </w:rPr>
        <w:fldChar w:fldCharType="begin" w:fldLock="1"/>
      </w:r>
      <w:r w:rsidR="00BB2FA6" w:rsidRPr="00BB2FA6">
        <w:rPr>
          <w:rFonts w:ascii="Times New Roman" w:eastAsia="Times New Roman" w:hAnsi="Times New Roman" w:cs="Times New Roman"/>
          <w:sz w:val="24"/>
          <w:szCs w:val="24"/>
        </w:rPr>
        <w:instrText>ADDIN CSL_CITATION {"citationItems":[{"id":"ITEM-1","itemData":{"DOI":"10.1108/itp-10-2021-0817","abstract":"PurposeBased on the cognition–affect–conation pattern, this study explores the factors that affect the intention to use facial recognition services (FRS). The study adopts the driving factor perspective to examine how network externalities influence FRS use intention through the mediating role of satisfaction and the barrier factor perspective to analyze how perceived privacy risk affects FRS use intention through the mediating role of privacy cynicism.Design/methodology/approachThe data collected from 478 Chinese FRS users are analyzed via partial least squares-based structural equation modeling (PLS-SEM).FindingsThe study produces the following results. (1) FRS use intention is motivated directly by the positive affective factor of satisfaction and the negative affective factor of privacy cynicism. (2) Satisfaction is affected by cognitive factors related to network externalities. Perceived complementarity and perceived compatibility, two indirect network externalities, positively affect satisfaction, whereas perceived critical mass, a direct network externality, does not significantly affect satisfaction. In addition, perceived privacy risk generates privacy cynicism. (3) Resistance to change positively moderates the relationship between privacy cynicism and intention to use FRS.Originality/valueThis study extends knowledge on people's use of FRS by exploring affect- and cognitive-based factors and finding that the affect-based factors (satisfaction and privacy cynicism) play fully mediating roles in the relationship between the cognitive-based factors and use intention. This study also expands the cognitive boundaries of FRS use by exploring the functional condition between affect-based factors and use intention, that is, the moderating role of resistance to use.","author":[{"dropping-particle":"","family":"Lyu","given":"Tu","non-dropping-particle":"","parse-names":false,"suffix":""},{"dropping-particle":"","family":"Guo","given":"Yulin","non-dropping-particle":"","parse-names":false,"suffix":""},{"dropping-particle":"","family":"Chen","given":"Hao","non-dropping-particle":"","parse-names":false,"suffix":""}],"container-title":"Information Technology and People","id":"ITEM-1","issued":{"date-parts":[["2023"]]},"title":"Understanding People's Intention to Use Facial Recognition Services: The Roles of Network Externality and Privacy Cynicism","type":"article-journal"},"uris":["http://www.mendeley.com/documents/?uuid=df42597c-2297-4384-b923-96c3a6a0b3f0"]},{"id":"ITEM-2","itemData":{"DOI":"10.1080/10447318.2021.1987677","ISSN":"15327590","abstract":"This study aims to understand the drivers behind the usage habits of voice assistants (VAs). To do so, we extend the Technology Acceptance Model in conjunction with the concept of privacy cynicism, a cognitive process that remains understudied in the academic literature. The model is validated using PLS analysis through Smart-PLS. Data gathered via MTurk includes 265 actual VAs users. It is observed that ease of use and perceived usefulness have a positive impact on attitude toward the usage of VAs, while privacy cynicism has a negative impact. Moreover, it is found that privacy cynicism has a positive impact on trust based on the usage of VAs. Interestingly, attitudes toward the usage of VAs does not fully explain the consumers’ VA usage habits.","author":[{"dropping-particle":"","family":"Acikgoz","given":"Fulya","non-dropping-particle":"","parse-names":false,"suffix":""},{"dropping-particle":"","family":"Vega","given":"Rodrigo Perez","non-dropping-particle":"","parse-names":false,"suffix":""}],"container-title":"International Journal of Human-Computer Interaction","id":"ITEM-2","issue":"12","issued":{"date-parts":[["2022"]]},"page":"1138-1152","publisher":"Taylor &amp; Francis","title":"The Role of Privacy Cynicism in Consumer Habits with Voice Assistants: A Technology Acceptance Model Perspective","type":"article-journal","volume":"38"},"uris":["http://www.mendeley.com/documents/?uuid=82f729cb-f45d-4d64-873b-c7c27ea0e80b"]}],"mendeley":{"formattedCitation":"(Acikgoz &amp; Vega, 2022; Lyu et al., 2023)","plainTextFormattedCitation":"(Acikgoz &amp; Vega, 2022; Lyu et al., 2023)","previouslyFormattedCitation":"(Acikgoz &amp; Vega, 2022; Lyu et al., 2023)"},"properties":{"noteIndex":0},"schema":"https://github.com/citation-style-language/schema/raw/master/csl-citation.json"}</w:instrText>
      </w:r>
      <w:r w:rsidR="00BB2FA6" w:rsidRPr="00BB2FA6">
        <w:rPr>
          <w:rFonts w:ascii="Times New Roman" w:eastAsia="Times New Roman" w:hAnsi="Times New Roman" w:cs="Times New Roman"/>
          <w:sz w:val="24"/>
          <w:szCs w:val="24"/>
        </w:rPr>
        <w:fldChar w:fldCharType="separate"/>
      </w:r>
      <w:r w:rsidR="00BB2FA6" w:rsidRPr="00BB2FA6">
        <w:rPr>
          <w:rFonts w:ascii="Times New Roman" w:eastAsia="Times New Roman" w:hAnsi="Times New Roman" w:cs="Times New Roman"/>
          <w:noProof/>
          <w:sz w:val="24"/>
          <w:szCs w:val="24"/>
        </w:rPr>
        <w:t>(Acikgoz &amp; Vega, 2022; Lyu et al., 2023)</w:t>
      </w:r>
      <w:r w:rsidR="00BB2FA6" w:rsidRPr="00BB2FA6">
        <w:rPr>
          <w:rFonts w:ascii="Times New Roman" w:eastAsia="Times New Roman" w:hAnsi="Times New Roman" w:cs="Times New Roman"/>
          <w:sz w:val="24"/>
          <w:szCs w:val="24"/>
        </w:rPr>
        <w:fldChar w:fldCharType="end"/>
      </w:r>
      <w:r w:rsidRPr="00A47E9E">
        <w:rPr>
          <w:rFonts w:ascii="Times New Roman" w:eastAsia="Times New Roman" w:hAnsi="Times New Roman" w:cs="Times New Roman"/>
          <w:sz w:val="24"/>
          <w:szCs w:val="24"/>
        </w:rPr>
        <w:t>. However, privacy cynicism also allows users to maintain a level of satisfaction and continue using services, despite their concerns, by rationali</w:t>
      </w:r>
      <w:r w:rsidR="00BB2FA6">
        <w:rPr>
          <w:rFonts w:ascii="Times New Roman" w:eastAsia="Times New Roman" w:hAnsi="Times New Roman" w:cs="Times New Roman"/>
          <w:sz w:val="24"/>
          <w:szCs w:val="24"/>
        </w:rPr>
        <w:t>z</w:t>
      </w:r>
      <w:r w:rsidRPr="00A47E9E">
        <w:rPr>
          <w:rFonts w:ascii="Times New Roman" w:eastAsia="Times New Roman" w:hAnsi="Times New Roman" w:cs="Times New Roman"/>
          <w:sz w:val="24"/>
          <w:szCs w:val="24"/>
        </w:rPr>
        <w:t>ing their behavio</w:t>
      </w:r>
      <w:r w:rsidR="00BB2FA6">
        <w:rPr>
          <w:rFonts w:ascii="Times New Roman" w:eastAsia="Times New Roman" w:hAnsi="Times New Roman" w:cs="Times New Roman"/>
          <w:sz w:val="24"/>
          <w:szCs w:val="24"/>
        </w:rPr>
        <w:t xml:space="preserve">r </w:t>
      </w:r>
      <w:r w:rsidR="00BB2FA6">
        <w:rPr>
          <w:rFonts w:ascii="Times New Roman" w:eastAsia="Times New Roman" w:hAnsi="Times New Roman" w:cs="Times New Roman"/>
          <w:sz w:val="24"/>
          <w:szCs w:val="24"/>
        </w:rPr>
        <w:fldChar w:fldCharType="begin" w:fldLock="1"/>
      </w:r>
      <w:r w:rsidR="00BB2FA6">
        <w:rPr>
          <w:rFonts w:ascii="Times New Roman" w:eastAsia="Times New Roman" w:hAnsi="Times New Roman" w:cs="Times New Roman"/>
          <w:sz w:val="24"/>
          <w:szCs w:val="24"/>
        </w:rPr>
        <w:instrText>ADDIN CSL_CITATION {"citationItems":[{"id":"ITEM-1","itemData":{"DOI":"10.1002/mar.21548","abstract":"Consumers sometimes describe their experience of interacting with artificial intelligence‐based human‐like chatbots as creepy. This study investigates the antecedents of creepiness (i.e., the chatbot's usability, privacy concerns, and user variables such as technology anxiety and the need for human interaction) and its impact on consumer loyalty. Grounded in the technology paradox, it deepens the understanding of creepiness in light of the theoretical underpinnings of the privacy paradox and privacy cynicism. Presented with the task of obtaining a car insurance quote, 430 consumers participated in a simulation involving interaction with a chatbot, followed by a questionnaire. The findings show that creepiness decreases loyalty and indirectly impacts it through trust and negative emotions. While usability reduces perceptions of creepiness, privacy concerns raised by the interaction with the chatbot increase creepiness, which is positively associated with consumer traits (i.e., technology anxiety and need for human interaction). The main contribution of the research lies in its focus on creepiness, a concept under‐researched in the marketing literature, and which can be seen from the perspective of a coping mechanism for consumers’ privacy concerns. This paper provides practical implications to orient managers in the design and implementation of chatbots, as a promising touch point to build customer loyalty.","author":[{"dropping-particle":"","family":"Rajaobelina","given":"Lova","non-dropping-particle":"","parse-names":false,"suffix":""},{"dropping-particle":"","family":"Tep","given":"Sandrine Prom","non-dropping-particle":"","parse-names":false,"suffix":""},{"dropping-particle":"","family":"Arcand","given":"Manon","non-dropping-particle":"","parse-names":false,"suffix":""},{"dropping-particle":"","family":"Ricard","given":"Line","non-dropping-particle":"","parse-names":false,"suffix":""}],"container-title":"Psychology and Marketing","id":"ITEM-1","issued":{"date-parts":[["2021"]]},"title":"Creepiness: Its Antecedents and Impact on Loyalty When Interacting With a Chatbot","type":"article-journal"},"uris":["http://www.mendeley.com/documents/?uuid=e10d9bfc-f136-4b6e-b4f4-83c7d99bd070"]}],"mendeley":{"formattedCitation":"(Rajaobelina et al., 2021)","plainTextFormattedCitation":"(Rajaobelina et al., 2021)","previouslyFormattedCitation":"(Rajaobelina et al., 2021)"},"properties":{"noteIndex":0},"schema":"https://github.com/citation-style-language/schema/raw/master/csl-citation.json"}</w:instrText>
      </w:r>
      <w:r w:rsidR="00BB2FA6">
        <w:rPr>
          <w:rFonts w:ascii="Times New Roman" w:eastAsia="Times New Roman" w:hAnsi="Times New Roman" w:cs="Times New Roman"/>
          <w:sz w:val="24"/>
          <w:szCs w:val="24"/>
        </w:rPr>
        <w:fldChar w:fldCharType="separate"/>
      </w:r>
      <w:r w:rsidR="00BB2FA6" w:rsidRPr="00BB2FA6">
        <w:rPr>
          <w:rFonts w:ascii="Times New Roman" w:eastAsia="Times New Roman" w:hAnsi="Times New Roman" w:cs="Times New Roman"/>
          <w:noProof/>
          <w:sz w:val="24"/>
          <w:szCs w:val="24"/>
        </w:rPr>
        <w:t>(Rajaobelina et al., 2021)</w:t>
      </w:r>
      <w:r w:rsidR="00BB2FA6">
        <w:rPr>
          <w:rFonts w:ascii="Times New Roman" w:eastAsia="Times New Roman" w:hAnsi="Times New Roman" w:cs="Times New Roman"/>
          <w:sz w:val="24"/>
          <w:szCs w:val="24"/>
        </w:rPr>
        <w:fldChar w:fldCharType="end"/>
      </w:r>
      <w:r w:rsidRPr="00A47E9E">
        <w:rPr>
          <w:rFonts w:ascii="Times New Roman" w:eastAsia="Times New Roman" w:hAnsi="Times New Roman" w:cs="Times New Roman"/>
          <w:sz w:val="24"/>
          <w:szCs w:val="24"/>
        </w:rPr>
        <w:t xml:space="preserve">. A study by </w:t>
      </w:r>
      <w:r w:rsidR="00BB2FA6">
        <w:rPr>
          <w:rFonts w:ascii="Times New Roman" w:eastAsia="Times New Roman" w:hAnsi="Times New Roman" w:cs="Times New Roman"/>
          <w:sz w:val="24"/>
          <w:szCs w:val="24"/>
        </w:rPr>
        <w:fldChar w:fldCharType="begin" w:fldLock="1"/>
      </w:r>
      <w:r w:rsidR="00BB2FA6">
        <w:rPr>
          <w:rFonts w:ascii="Times New Roman" w:eastAsia="Times New Roman" w:hAnsi="Times New Roman" w:cs="Times New Roman"/>
          <w:sz w:val="24"/>
          <w:szCs w:val="24"/>
        </w:rPr>
        <w:instrText>ADDIN CSL_CITATION {"citationItems":[{"id":"ITEM-1","itemData":{"DOI":"10.1177/1461444820912544","abstract":"Ever since empirical studies found only a weak, if any, relationship between privacy concerns and privacy behavior, scholars have struggled to explain the so-called privacy paradox. Today, a number of theoretical arguments illuminate users’ privacy rationales, including the privacy calculus, privacy literacy, and contextual differentiations. A recent approach focuses on user resignation, apathy, or fatigue. In this piece, we concentrate on privacy cynicism, an attitude of uncertainty, powerlessness, mistrust, and resignation toward data handling by online services that renders privacy protection subjectively futile. We discuss privacy cynicism in the context of data capitalism, as a coping mechanism to address the tension between digital inclusion and a desire for privacy. Moreover, we introduce a measure for privacy cynicism and investigate the phenomenon based on a large-scale survey in Germany. The analysis highlights the multidimensionality of the construct, differentiating its relationships with privacy concerns, threat experience, Internet skills, and protection behavior.","author":[{"dropping-particle":"","family":"Lutz","given":"Christoph","non-dropping-particle":"","parse-names":false,"suffix":""},{"dropping-particle":"","family":"Hoffmann","given":"Christian","non-dropping-particle":"","parse-names":false,"suffix":""},{"dropping-particle":"","family":"Ranzini","given":"Giulia","non-dropping-particle":"","parse-names":false,"suffix":""}],"container-title":"New Media &amp;Amp; Society","id":"ITEM-1","issued":{"date-parts":[["2020"]]},"title":"Data Capitalism and the User: An Exploration of Privacy Cynicism in Germany","type":"article-journal"},"uris":["http://www.mendeley.com/documents/?uuid=b004036a-df75-4b0e-b1f1-7fdb5d7264e8"]}],"mendeley":{"formattedCitation":"(Lutz et al., 2020)","manualFormatting":"Hoffmann and Lutz et al. (2020)","plainTextFormattedCitation":"(Lutz et al., 2020)","previouslyFormattedCitation":"(Lutz et al., 2020)"},"properties":{"noteIndex":0},"schema":"https://github.com/citation-style-language/schema/raw/master/csl-citation.json"}</w:instrText>
      </w:r>
      <w:r w:rsidR="00BB2FA6">
        <w:rPr>
          <w:rFonts w:ascii="Times New Roman" w:eastAsia="Times New Roman" w:hAnsi="Times New Roman" w:cs="Times New Roman"/>
          <w:sz w:val="24"/>
          <w:szCs w:val="24"/>
        </w:rPr>
        <w:fldChar w:fldCharType="separate"/>
      </w:r>
      <w:r w:rsidR="00BB2FA6">
        <w:rPr>
          <w:rFonts w:ascii="Times New Roman" w:eastAsia="Times New Roman" w:hAnsi="Times New Roman" w:cs="Times New Roman"/>
          <w:noProof/>
          <w:sz w:val="24"/>
          <w:szCs w:val="24"/>
        </w:rPr>
        <w:t xml:space="preserve">Hoffmann and </w:t>
      </w:r>
      <w:r w:rsidR="00BB2FA6" w:rsidRPr="00BB2FA6">
        <w:rPr>
          <w:rFonts w:ascii="Times New Roman" w:eastAsia="Times New Roman" w:hAnsi="Times New Roman" w:cs="Times New Roman"/>
          <w:noProof/>
          <w:sz w:val="24"/>
          <w:szCs w:val="24"/>
        </w:rPr>
        <w:t xml:space="preserve">Lutz et al. </w:t>
      </w:r>
      <w:r w:rsidR="00BB2FA6">
        <w:rPr>
          <w:rFonts w:ascii="Times New Roman" w:eastAsia="Times New Roman" w:hAnsi="Times New Roman" w:cs="Times New Roman"/>
          <w:noProof/>
          <w:sz w:val="24"/>
          <w:szCs w:val="24"/>
        </w:rPr>
        <w:t>(</w:t>
      </w:r>
      <w:r w:rsidR="00BB2FA6" w:rsidRPr="00BB2FA6">
        <w:rPr>
          <w:rFonts w:ascii="Times New Roman" w:eastAsia="Times New Roman" w:hAnsi="Times New Roman" w:cs="Times New Roman"/>
          <w:noProof/>
          <w:sz w:val="24"/>
          <w:szCs w:val="24"/>
        </w:rPr>
        <w:t>2020)</w:t>
      </w:r>
      <w:r w:rsidR="00BB2FA6">
        <w:rPr>
          <w:rFonts w:ascii="Times New Roman" w:eastAsia="Times New Roman" w:hAnsi="Times New Roman" w:cs="Times New Roman"/>
          <w:sz w:val="24"/>
          <w:szCs w:val="24"/>
        </w:rPr>
        <w:fldChar w:fldCharType="end"/>
      </w:r>
      <w:r w:rsidR="00BB2FA6">
        <w:rPr>
          <w:rFonts w:ascii="Times New Roman" w:eastAsia="Times New Roman" w:hAnsi="Times New Roman" w:cs="Times New Roman"/>
          <w:sz w:val="24"/>
          <w:szCs w:val="24"/>
        </w:rPr>
        <w:t xml:space="preserve"> </w:t>
      </w:r>
      <w:r w:rsidRPr="00A47E9E">
        <w:rPr>
          <w:rFonts w:ascii="Times New Roman" w:eastAsia="Times New Roman" w:hAnsi="Times New Roman" w:cs="Times New Roman"/>
          <w:sz w:val="24"/>
          <w:szCs w:val="24"/>
        </w:rPr>
        <w:t>found that privacy cynicism was negatively related to privacy protection behavio</w:t>
      </w:r>
      <w:r w:rsidR="00BB2FA6">
        <w:rPr>
          <w:rFonts w:ascii="Times New Roman" w:eastAsia="Times New Roman" w:hAnsi="Times New Roman" w:cs="Times New Roman"/>
          <w:sz w:val="24"/>
          <w:szCs w:val="24"/>
        </w:rPr>
        <w:t>u</w:t>
      </w:r>
      <w:r w:rsidRPr="00A47E9E">
        <w:rPr>
          <w:rFonts w:ascii="Times New Roman" w:eastAsia="Times New Roman" w:hAnsi="Times New Roman" w:cs="Times New Roman"/>
          <w:sz w:val="24"/>
          <w:szCs w:val="24"/>
        </w:rPr>
        <w:t>r, suggesting that cynical users are less likely to take steps to protect their privacy online. Overall, privacy cynicism appears to be a maladaptive coping mechanism that allows users to maintain satisfaction in the short</w:t>
      </w:r>
      <w:r w:rsidR="00BB2FA6">
        <w:rPr>
          <w:rFonts w:ascii="Times New Roman" w:eastAsia="Times New Roman" w:hAnsi="Times New Roman" w:cs="Times New Roman"/>
          <w:sz w:val="24"/>
          <w:szCs w:val="24"/>
        </w:rPr>
        <w:t xml:space="preserve"> </w:t>
      </w:r>
      <w:r w:rsidRPr="00A47E9E">
        <w:rPr>
          <w:rFonts w:ascii="Times New Roman" w:eastAsia="Times New Roman" w:hAnsi="Times New Roman" w:cs="Times New Roman"/>
          <w:sz w:val="24"/>
          <w:szCs w:val="24"/>
        </w:rPr>
        <w:t>term but may erode trust and lead to worse privacy outcomes in the long run</w:t>
      </w:r>
      <w:r w:rsidR="00BB2FA6">
        <w:rPr>
          <w:rFonts w:ascii="Times New Roman" w:eastAsia="Times New Roman" w:hAnsi="Times New Roman" w:cs="Times New Roman"/>
          <w:sz w:val="24"/>
          <w:szCs w:val="24"/>
        </w:rPr>
        <w:t xml:space="preserve"> </w:t>
      </w:r>
      <w:r w:rsidR="00BB2FA6">
        <w:rPr>
          <w:rFonts w:ascii="Times New Roman" w:eastAsia="Times New Roman" w:hAnsi="Times New Roman" w:cs="Times New Roman"/>
          <w:sz w:val="24"/>
          <w:szCs w:val="24"/>
        </w:rPr>
        <w:fldChar w:fldCharType="begin" w:fldLock="1"/>
      </w:r>
      <w:r w:rsidR="00CE7017">
        <w:rPr>
          <w:rFonts w:ascii="Times New Roman" w:eastAsia="Times New Roman" w:hAnsi="Times New Roman" w:cs="Times New Roman"/>
          <w:sz w:val="24"/>
          <w:szCs w:val="24"/>
        </w:rPr>
        <w:instrText>ADDIN CSL_CITATION {"citationItems":[{"id":"ITEM-1","itemData":{"DOI":"10.1177/00936502211060984","abstract":"In the era of data-driven communication, managing one’s online privacy is a necessary, yet burdensome challenge. While individuals have concerns about firms’ data collection practices, they sometimes appear to disclose personal information for relatively small rewards. We demonstrate that privacy cynicism—an attitude toward privacy protection characterized by frustration, hopelessness, and disillusionment—explains this paradox by moderating the relationship between the appraisal of privacy threats and privacy coping behaviors on one side, and privacy protection behaviors on the other side. Results of a U.S. national survey ( N = 993) show that privacy cynicism is negatively related to privacy protection behaviors and significantly moderates relationships of perceived vulnerability, response efficacy, disclosure benefits, and response costs on protection behaviors. Hence, this work has important implications for communication theory by extending existing models of privacy management behaviors, as well as for communication practice, by stressing the importance of creating awareness about privacy cynicism.","author":[{"dropping-particle":"van","family":"Ooijen","given":"Iris","non-dropping-particle":"","parse-names":false,"suffix":""},{"dropping-particle":"","family":"Segijn","given":"Claire M","non-dropping-particle":"","parse-names":false,"suffix":""},{"dropping-particle":"","family":"Opree","given":"Suzanna J","non-dropping-particle":"","parse-names":false,"suffix":""}],"container-title":"Communication Research","id":"ITEM-1","issued":{"date-parts":[["2022"]]},"title":"Privacy Cynicism and Its Role in Privacy Decision-Making","type":"article-journal"},"uris":["http://www.mendeley.com/documents/?uuid=990e3133-20e8-4562-92d2-9a5af9e96cc7"]}],"mendeley":{"formattedCitation":"(Ooijen et al., 2022)","plainTextFormattedCitation":"(Ooijen et al., 2022)","previouslyFormattedCitation":"(Ooijen et al., 2022)"},"properties":{"noteIndex":0},"schema":"https://github.com/citation-style-language/schema/raw/master/csl-citation.json"}</w:instrText>
      </w:r>
      <w:r w:rsidR="00BB2FA6">
        <w:rPr>
          <w:rFonts w:ascii="Times New Roman" w:eastAsia="Times New Roman" w:hAnsi="Times New Roman" w:cs="Times New Roman"/>
          <w:sz w:val="24"/>
          <w:szCs w:val="24"/>
        </w:rPr>
        <w:fldChar w:fldCharType="separate"/>
      </w:r>
      <w:r w:rsidR="00BB2FA6" w:rsidRPr="00BB2FA6">
        <w:rPr>
          <w:rFonts w:ascii="Times New Roman" w:eastAsia="Times New Roman" w:hAnsi="Times New Roman" w:cs="Times New Roman"/>
          <w:noProof/>
          <w:sz w:val="24"/>
          <w:szCs w:val="24"/>
        </w:rPr>
        <w:t>(Ooijen et al., 2022)</w:t>
      </w:r>
      <w:r w:rsidR="00BB2FA6">
        <w:rPr>
          <w:rFonts w:ascii="Times New Roman" w:eastAsia="Times New Roman" w:hAnsi="Times New Roman" w:cs="Times New Roman"/>
          <w:sz w:val="24"/>
          <w:szCs w:val="24"/>
        </w:rPr>
        <w:fldChar w:fldCharType="end"/>
      </w:r>
      <w:r w:rsidR="00BB2FA6">
        <w:rPr>
          <w:rFonts w:ascii="Times New Roman" w:eastAsia="Times New Roman" w:hAnsi="Times New Roman" w:cs="Times New Roman"/>
          <w:sz w:val="24"/>
          <w:szCs w:val="24"/>
        </w:rPr>
        <w:t>.</w:t>
      </w:r>
    </w:p>
    <w:p w14:paraId="16117B65" w14:textId="053A2FD8" w:rsidR="00BB2FA6" w:rsidRPr="00234FFB" w:rsidRDefault="00BB2FA6" w:rsidP="00BB2FA6">
      <w:pPr>
        <w:spacing w:after="0" w:line="240" w:lineRule="auto"/>
        <w:jc w:val="both"/>
        <w:rPr>
          <w:rFonts w:ascii="Times New Roman" w:hAnsi="Times New Roman" w:cs="Times New Roman"/>
          <w:sz w:val="24"/>
          <w:szCs w:val="24"/>
        </w:rPr>
      </w:pPr>
      <w:r w:rsidRPr="00234FFB">
        <w:rPr>
          <w:rFonts w:ascii="Times New Roman" w:hAnsi="Times New Roman" w:cs="Times New Roman"/>
          <w:sz w:val="24"/>
          <w:lang w:eastAsia="ja-JP"/>
        </w:rPr>
        <w:t xml:space="preserve">Hypotheses </w:t>
      </w:r>
      <w:r>
        <w:rPr>
          <w:rFonts w:ascii="Times New Roman" w:hAnsi="Times New Roman" w:cs="Times New Roman"/>
          <w:sz w:val="24"/>
          <w:lang w:eastAsia="ja-JP"/>
        </w:rPr>
        <w:t>4a</w:t>
      </w:r>
      <w:r w:rsidRPr="00234FFB">
        <w:rPr>
          <w:rFonts w:ascii="Times New Roman" w:hAnsi="Times New Roman" w:cs="Times New Roman"/>
          <w:sz w:val="24"/>
          <w:lang w:eastAsia="ja-JP"/>
        </w:rPr>
        <w:t xml:space="preserve">. </w:t>
      </w:r>
      <w:r>
        <w:rPr>
          <w:rFonts w:ascii="Times New Roman" w:hAnsi="Times New Roman" w:cs="Times New Roman"/>
          <w:sz w:val="24"/>
          <w:lang w:eastAsia="ja-JP"/>
        </w:rPr>
        <w:t>Privacy cynicism</w:t>
      </w:r>
      <w:r w:rsidRPr="00234FFB">
        <w:rPr>
          <w:rFonts w:ascii="Times New Roman" w:hAnsi="Times New Roman" w:cs="Times New Roman"/>
          <w:sz w:val="24"/>
          <w:lang w:eastAsia="ja-JP"/>
        </w:rPr>
        <w:t xml:space="preserve"> will be significantly related to </w:t>
      </w:r>
      <w:r>
        <w:rPr>
          <w:rFonts w:ascii="Times New Roman" w:hAnsi="Times New Roman" w:cs="Times New Roman"/>
          <w:sz w:val="24"/>
          <w:lang w:eastAsia="ja-JP"/>
        </w:rPr>
        <w:t>trust</w:t>
      </w:r>
      <w:r w:rsidRPr="00234FFB">
        <w:rPr>
          <w:rFonts w:ascii="Times New Roman" w:hAnsi="Times New Roman" w:cs="Times New Roman"/>
          <w:sz w:val="24"/>
          <w:lang w:eastAsia="ja-JP"/>
        </w:rPr>
        <w:t>.</w:t>
      </w:r>
    </w:p>
    <w:p w14:paraId="788D08E5" w14:textId="3CCAE279" w:rsidR="00BB2FA6" w:rsidRPr="00234FFB" w:rsidRDefault="00BB2FA6" w:rsidP="00BB2FA6">
      <w:pPr>
        <w:spacing w:after="0" w:line="240" w:lineRule="auto"/>
        <w:jc w:val="both"/>
        <w:rPr>
          <w:rFonts w:ascii="Times New Roman" w:hAnsi="Times New Roman" w:cs="Times New Roman"/>
          <w:sz w:val="24"/>
          <w:szCs w:val="24"/>
        </w:rPr>
      </w:pPr>
      <w:r w:rsidRPr="00234FFB">
        <w:rPr>
          <w:rFonts w:ascii="Times New Roman" w:hAnsi="Times New Roman" w:cs="Times New Roman"/>
          <w:sz w:val="24"/>
          <w:lang w:eastAsia="ja-JP"/>
        </w:rPr>
        <w:t xml:space="preserve">Hypotheses </w:t>
      </w:r>
      <w:r>
        <w:rPr>
          <w:rFonts w:ascii="Times New Roman" w:hAnsi="Times New Roman" w:cs="Times New Roman"/>
          <w:sz w:val="24"/>
          <w:lang w:eastAsia="ja-JP"/>
        </w:rPr>
        <w:t>4b</w:t>
      </w:r>
      <w:r w:rsidRPr="00234FFB">
        <w:rPr>
          <w:rFonts w:ascii="Times New Roman" w:hAnsi="Times New Roman" w:cs="Times New Roman"/>
          <w:sz w:val="24"/>
          <w:lang w:eastAsia="ja-JP"/>
        </w:rPr>
        <w:t xml:space="preserve">. </w:t>
      </w:r>
      <w:r>
        <w:rPr>
          <w:rFonts w:ascii="Times New Roman" w:hAnsi="Times New Roman" w:cs="Times New Roman"/>
          <w:sz w:val="24"/>
          <w:lang w:eastAsia="ja-JP"/>
        </w:rPr>
        <w:t>Privacy cynicism</w:t>
      </w:r>
      <w:r w:rsidRPr="00234FFB">
        <w:rPr>
          <w:rFonts w:ascii="Times New Roman" w:hAnsi="Times New Roman" w:cs="Times New Roman"/>
          <w:sz w:val="24"/>
          <w:lang w:eastAsia="ja-JP"/>
        </w:rPr>
        <w:t xml:space="preserve"> will be significantly related to </w:t>
      </w:r>
      <w:r>
        <w:rPr>
          <w:rFonts w:ascii="Times New Roman" w:hAnsi="Times New Roman" w:cs="Times New Roman"/>
          <w:sz w:val="24"/>
          <w:lang w:eastAsia="ja-JP"/>
        </w:rPr>
        <w:t>satisfaction</w:t>
      </w:r>
      <w:r w:rsidRPr="00234FFB">
        <w:rPr>
          <w:rFonts w:ascii="Times New Roman" w:hAnsi="Times New Roman" w:cs="Times New Roman"/>
          <w:sz w:val="24"/>
          <w:lang w:eastAsia="ja-JP"/>
        </w:rPr>
        <w:t>.</w:t>
      </w:r>
    </w:p>
    <w:p w14:paraId="3FF01119" w14:textId="77777777" w:rsidR="00BB2FA6" w:rsidRDefault="00BB2FA6" w:rsidP="00D32E59">
      <w:pPr>
        <w:spacing w:after="0" w:line="240" w:lineRule="auto"/>
        <w:jc w:val="both"/>
        <w:rPr>
          <w:rFonts w:ascii="Times New Roman" w:eastAsia="Times New Roman" w:hAnsi="Times New Roman" w:cs="Times New Roman"/>
          <w:sz w:val="24"/>
          <w:szCs w:val="24"/>
        </w:rPr>
      </w:pPr>
    </w:p>
    <w:p w14:paraId="7451B895" w14:textId="77777777" w:rsidR="00A51C04" w:rsidRDefault="00A51C04" w:rsidP="00D32E59">
      <w:pPr>
        <w:spacing w:after="0" w:line="240" w:lineRule="auto"/>
        <w:jc w:val="both"/>
        <w:rPr>
          <w:rFonts w:ascii="Times New Roman" w:eastAsia="Times New Roman" w:hAnsi="Times New Roman" w:cs="Times New Roman"/>
          <w:sz w:val="24"/>
          <w:szCs w:val="24"/>
        </w:rPr>
      </w:pPr>
    </w:p>
    <w:p w14:paraId="1F6B29C1" w14:textId="7E232596" w:rsidR="00BB2FA6" w:rsidRDefault="00BB2FA6" w:rsidP="00D32E59">
      <w:pPr>
        <w:spacing w:after="0" w:line="240" w:lineRule="auto"/>
        <w:jc w:val="both"/>
        <w:rPr>
          <w:rFonts w:ascii="Times New Roman" w:eastAsia="Times New Roman" w:hAnsi="Times New Roman" w:cs="Times New Roman"/>
          <w:sz w:val="24"/>
          <w:szCs w:val="24"/>
        </w:rPr>
      </w:pPr>
      <w:r w:rsidRPr="00BB2FA6">
        <w:rPr>
          <w:rFonts w:ascii="Times New Roman" w:eastAsia="Times New Roman" w:hAnsi="Times New Roman" w:cs="Times New Roman"/>
          <w:sz w:val="24"/>
          <w:szCs w:val="24"/>
        </w:rPr>
        <w:lastRenderedPageBreak/>
        <w:t>Based on the literature study above, the following is the theoretical framework (Figure 1) in this study</w:t>
      </w:r>
      <w:r>
        <w:rPr>
          <w:rFonts w:ascii="Times New Roman" w:eastAsia="Times New Roman" w:hAnsi="Times New Roman" w:cs="Times New Roman"/>
          <w:sz w:val="24"/>
          <w:szCs w:val="24"/>
        </w:rPr>
        <w:t>:</w:t>
      </w:r>
    </w:p>
    <w:p w14:paraId="071BFCD5" w14:textId="77777777" w:rsidR="00BB2FA6" w:rsidRDefault="00BB2FA6" w:rsidP="00D32E59">
      <w:pPr>
        <w:spacing w:after="0" w:line="240" w:lineRule="auto"/>
        <w:jc w:val="both"/>
        <w:rPr>
          <w:rFonts w:ascii="Times New Roman" w:eastAsia="Times New Roman" w:hAnsi="Times New Roman" w:cs="Times New Roman"/>
          <w:sz w:val="24"/>
          <w:szCs w:val="24"/>
        </w:rPr>
      </w:pPr>
    </w:p>
    <w:p w14:paraId="22CAC331" w14:textId="037FEE67" w:rsidR="006D5C07" w:rsidRDefault="00BB2FA6" w:rsidP="00D32E59">
      <w:pPr>
        <w:spacing w:after="0" w:line="240" w:lineRule="auto"/>
        <w:jc w:val="both"/>
        <w:rPr>
          <w:rFonts w:ascii="Times New Roman" w:eastAsia="Times New Roman" w:hAnsi="Times New Roman" w:cs="Times New Roman"/>
          <w:sz w:val="24"/>
          <w:szCs w:val="24"/>
        </w:rPr>
      </w:pPr>
      <w:r w:rsidRPr="005A30FF">
        <w:rPr>
          <w:noProof/>
          <w:sz w:val="20"/>
          <w:szCs w:val="20"/>
        </w:rPr>
        <mc:AlternateContent>
          <mc:Choice Requires="wpg">
            <w:drawing>
              <wp:anchor distT="0" distB="0" distL="114300" distR="114300" simplePos="0" relativeHeight="251659264" behindDoc="0" locked="0" layoutInCell="1" allowOverlap="1" wp14:anchorId="1BED5AFA" wp14:editId="59479875">
                <wp:simplePos x="0" y="0"/>
                <wp:positionH relativeFrom="column">
                  <wp:posOffset>79283</wp:posOffset>
                </wp:positionH>
                <wp:positionV relativeFrom="paragraph">
                  <wp:posOffset>130447</wp:posOffset>
                </wp:positionV>
                <wp:extent cx="5453743" cy="2514600"/>
                <wp:effectExtent l="0" t="0" r="13970" b="0"/>
                <wp:wrapNone/>
                <wp:docPr id="3" name="Group 2">
                  <a:extLst xmlns:a="http://schemas.openxmlformats.org/drawingml/2006/main">
                    <a:ext uri="{FF2B5EF4-FFF2-40B4-BE49-F238E27FC236}">
                      <a16:creationId xmlns:a16="http://schemas.microsoft.com/office/drawing/2014/main" id="{172E387C-7073-427B-994A-45B131B1A79E}"/>
                    </a:ext>
                  </a:extLst>
                </wp:docPr>
                <wp:cNvGraphicFramePr/>
                <a:graphic xmlns:a="http://schemas.openxmlformats.org/drawingml/2006/main">
                  <a:graphicData uri="http://schemas.microsoft.com/office/word/2010/wordprocessingGroup">
                    <wpg:wgp>
                      <wpg:cNvGrpSpPr/>
                      <wpg:grpSpPr>
                        <a:xfrm>
                          <a:off x="0" y="0"/>
                          <a:ext cx="5453743" cy="2514600"/>
                          <a:chOff x="1" y="813671"/>
                          <a:chExt cx="7218563" cy="3002868"/>
                        </a:xfrm>
                      </wpg:grpSpPr>
                      <wps:wsp>
                        <wps:cNvPr id="2" name="Oval 2">
                          <a:extLst>
                            <a:ext uri="{FF2B5EF4-FFF2-40B4-BE49-F238E27FC236}">
                              <a16:creationId xmlns:a16="http://schemas.microsoft.com/office/drawing/2014/main" id="{D3041AF3-B849-4E5F-940D-9EE37F58B673}"/>
                            </a:ext>
                          </a:extLst>
                        </wps:cNvPr>
                        <wps:cNvSpPr/>
                        <wps:spPr>
                          <a:xfrm>
                            <a:off x="1431374" y="2979709"/>
                            <a:ext cx="1426653" cy="815009"/>
                          </a:xfrm>
                          <a:prstGeom prst="ellipse">
                            <a:avLst/>
                          </a:prstGeom>
                        </wps:spPr>
                        <wps:style>
                          <a:lnRef idx="2">
                            <a:schemeClr val="dk1"/>
                          </a:lnRef>
                          <a:fillRef idx="1">
                            <a:schemeClr val="lt1"/>
                          </a:fillRef>
                          <a:effectRef idx="0">
                            <a:schemeClr val="dk1"/>
                          </a:effectRef>
                          <a:fontRef idx="minor">
                            <a:schemeClr val="dk1"/>
                          </a:fontRef>
                        </wps:style>
                        <wps:txbx>
                          <w:txbxContent>
                            <w:p w14:paraId="5507CEA7" w14:textId="77777777" w:rsidR="00690781" w:rsidRPr="00690781" w:rsidRDefault="00690781" w:rsidP="00690781">
                              <w:pPr>
                                <w:jc w:val="center"/>
                                <w:rPr>
                                  <w:rFonts w:hAnsi="Calibri"/>
                                  <w:kern w:val="24"/>
                                  <w:sz w:val="16"/>
                                  <w:szCs w:val="16"/>
                                </w:rPr>
                              </w:pPr>
                              <w:r w:rsidRPr="00690781">
                                <w:rPr>
                                  <w:rFonts w:hAnsi="Calibri"/>
                                  <w:kern w:val="24"/>
                                  <w:sz w:val="16"/>
                                  <w:szCs w:val="16"/>
                                </w:rPr>
                                <w:t>Privacy Cynicism</w:t>
                              </w:r>
                            </w:p>
                          </w:txbxContent>
                        </wps:txbx>
                        <wps:bodyPr rtlCol="0" anchor="ctr"/>
                      </wps:wsp>
                      <wps:wsp>
                        <wps:cNvPr id="4" name="Oval 4">
                          <a:extLst>
                            <a:ext uri="{FF2B5EF4-FFF2-40B4-BE49-F238E27FC236}">
                              <a16:creationId xmlns:a16="http://schemas.microsoft.com/office/drawing/2014/main" id="{CF2FF729-A716-4C58-9618-65C829AD7845}"/>
                            </a:ext>
                          </a:extLst>
                        </wps:cNvPr>
                        <wps:cNvSpPr/>
                        <wps:spPr>
                          <a:xfrm>
                            <a:off x="1641871" y="813671"/>
                            <a:ext cx="1475702" cy="815009"/>
                          </a:xfrm>
                          <a:prstGeom prst="ellipse">
                            <a:avLst/>
                          </a:prstGeom>
                        </wps:spPr>
                        <wps:style>
                          <a:lnRef idx="2">
                            <a:schemeClr val="dk1"/>
                          </a:lnRef>
                          <a:fillRef idx="1">
                            <a:schemeClr val="lt1"/>
                          </a:fillRef>
                          <a:effectRef idx="0">
                            <a:schemeClr val="dk1"/>
                          </a:effectRef>
                          <a:fontRef idx="minor">
                            <a:schemeClr val="dk1"/>
                          </a:fontRef>
                        </wps:style>
                        <wps:txbx>
                          <w:txbxContent>
                            <w:p w14:paraId="278FAE91" w14:textId="77777777" w:rsidR="00690781" w:rsidRPr="00690781" w:rsidRDefault="00690781" w:rsidP="00690781">
                              <w:pPr>
                                <w:jc w:val="center"/>
                                <w:rPr>
                                  <w:rFonts w:hAnsi="Calibri"/>
                                  <w:kern w:val="24"/>
                                  <w:sz w:val="16"/>
                                  <w:szCs w:val="16"/>
                                </w:rPr>
                              </w:pPr>
                              <w:r w:rsidRPr="00690781">
                                <w:rPr>
                                  <w:rFonts w:hAnsi="Calibri"/>
                                  <w:kern w:val="24"/>
                                  <w:sz w:val="16"/>
                                  <w:szCs w:val="16"/>
                                </w:rPr>
                                <w:t>Perceived Usefulness</w:t>
                              </w:r>
                            </w:p>
                          </w:txbxContent>
                        </wps:txbx>
                        <wps:bodyPr rtlCol="0" anchor="ctr"/>
                      </wps:wsp>
                      <wps:wsp>
                        <wps:cNvPr id="5" name="Oval 5">
                          <a:extLst>
                            <a:ext uri="{FF2B5EF4-FFF2-40B4-BE49-F238E27FC236}">
                              <a16:creationId xmlns:a16="http://schemas.microsoft.com/office/drawing/2014/main" id="{95692758-1D7F-4148-B21E-EEE27B435004}"/>
                            </a:ext>
                          </a:extLst>
                        </wps:cNvPr>
                        <wps:cNvSpPr/>
                        <wps:spPr>
                          <a:xfrm>
                            <a:off x="5757025" y="918955"/>
                            <a:ext cx="1461539" cy="756931"/>
                          </a:xfrm>
                          <a:prstGeom prst="ellipse">
                            <a:avLst/>
                          </a:prstGeom>
                        </wps:spPr>
                        <wps:style>
                          <a:lnRef idx="2">
                            <a:schemeClr val="dk1"/>
                          </a:lnRef>
                          <a:fillRef idx="1">
                            <a:schemeClr val="lt1"/>
                          </a:fillRef>
                          <a:effectRef idx="0">
                            <a:schemeClr val="dk1"/>
                          </a:effectRef>
                          <a:fontRef idx="minor">
                            <a:schemeClr val="dk1"/>
                          </a:fontRef>
                        </wps:style>
                        <wps:txbx>
                          <w:txbxContent>
                            <w:p w14:paraId="4E28B89B" w14:textId="45EA3AFF" w:rsidR="00690781" w:rsidRPr="00BB2FA6" w:rsidRDefault="00690781" w:rsidP="00690781">
                              <w:pPr>
                                <w:jc w:val="center"/>
                                <w:rPr>
                                  <w:rFonts w:hAnsi="Calibri"/>
                                  <w:kern w:val="24"/>
                                  <w:sz w:val="16"/>
                                  <w:szCs w:val="16"/>
                                </w:rPr>
                              </w:pPr>
                              <w:r w:rsidRPr="00BB2FA6">
                                <w:rPr>
                                  <w:rFonts w:hAnsi="Calibri"/>
                                  <w:kern w:val="24"/>
                                  <w:sz w:val="16"/>
                                  <w:szCs w:val="16"/>
                                </w:rPr>
                                <w:t>Satisfaction</w:t>
                              </w:r>
                            </w:p>
                          </w:txbxContent>
                        </wps:txbx>
                        <wps:bodyPr rtlCol="0" anchor="ctr"/>
                      </wps:wsp>
                      <wps:wsp>
                        <wps:cNvPr id="6" name="Oval 6">
                          <a:extLst>
                            <a:ext uri="{FF2B5EF4-FFF2-40B4-BE49-F238E27FC236}">
                              <a16:creationId xmlns:a16="http://schemas.microsoft.com/office/drawing/2014/main" id="{D07ACDC4-4B73-435D-9009-24E6867EC691}"/>
                            </a:ext>
                          </a:extLst>
                        </wps:cNvPr>
                        <wps:cNvSpPr/>
                        <wps:spPr>
                          <a:xfrm>
                            <a:off x="5077183" y="2617685"/>
                            <a:ext cx="1169973" cy="695591"/>
                          </a:xfrm>
                          <a:prstGeom prst="ellipse">
                            <a:avLst/>
                          </a:prstGeom>
                          <a:noFill/>
                        </wps:spPr>
                        <wps:style>
                          <a:lnRef idx="2">
                            <a:schemeClr val="dk1"/>
                          </a:lnRef>
                          <a:fillRef idx="1">
                            <a:schemeClr val="lt1"/>
                          </a:fillRef>
                          <a:effectRef idx="0">
                            <a:schemeClr val="dk1"/>
                          </a:effectRef>
                          <a:fontRef idx="minor">
                            <a:schemeClr val="dk1"/>
                          </a:fontRef>
                        </wps:style>
                        <wps:txbx>
                          <w:txbxContent>
                            <w:p w14:paraId="0B3EFA8A" w14:textId="77777777" w:rsidR="00690781" w:rsidRPr="00BB2FA6" w:rsidRDefault="00690781" w:rsidP="00690781">
                              <w:pPr>
                                <w:jc w:val="center"/>
                                <w:rPr>
                                  <w:rFonts w:hAnsi="Calibri"/>
                                  <w:kern w:val="24"/>
                                  <w:sz w:val="16"/>
                                  <w:szCs w:val="16"/>
                                </w:rPr>
                              </w:pPr>
                              <w:r w:rsidRPr="00BB2FA6">
                                <w:rPr>
                                  <w:rFonts w:hAnsi="Calibri"/>
                                  <w:kern w:val="24"/>
                                  <w:sz w:val="16"/>
                                  <w:szCs w:val="16"/>
                                </w:rPr>
                                <w:t>Trust</w:t>
                              </w:r>
                            </w:p>
                          </w:txbxContent>
                        </wps:txbx>
                        <wps:bodyPr rtlCol="0" anchor="ctr"/>
                      </wps:wsp>
                      <wps:wsp>
                        <wps:cNvPr id="7" name="Straight Arrow Connector 7">
                          <a:extLst>
                            <a:ext uri="{FF2B5EF4-FFF2-40B4-BE49-F238E27FC236}">
                              <a16:creationId xmlns:a16="http://schemas.microsoft.com/office/drawing/2014/main" id="{D1D05D0E-F845-424D-BE9C-3F411AA082ED}"/>
                            </a:ext>
                          </a:extLst>
                        </wps:cNvPr>
                        <wps:cNvCnPr>
                          <a:stCxn id="2" idx="6"/>
                          <a:endCxn id="5" idx="2"/>
                        </wps:cNvCnPr>
                        <wps:spPr>
                          <a:xfrm flipV="1">
                            <a:off x="2858027" y="1297420"/>
                            <a:ext cx="2898998" cy="20897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a:extLst>
                            <a:ext uri="{FF2B5EF4-FFF2-40B4-BE49-F238E27FC236}">
                              <a16:creationId xmlns:a16="http://schemas.microsoft.com/office/drawing/2014/main" id="{0214F49D-F807-4F11-9C65-2700AF4EA4CB}"/>
                            </a:ext>
                          </a:extLst>
                        </wps:cNvPr>
                        <wps:cNvCnPr>
                          <a:stCxn id="4" idx="6"/>
                          <a:endCxn id="6" idx="2"/>
                        </wps:cNvCnPr>
                        <wps:spPr>
                          <a:xfrm>
                            <a:off x="3117572" y="1221176"/>
                            <a:ext cx="1959611" cy="1744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a:extLst>
                            <a:ext uri="{FF2B5EF4-FFF2-40B4-BE49-F238E27FC236}">
                              <a16:creationId xmlns:a16="http://schemas.microsoft.com/office/drawing/2014/main" id="{B05C1817-94DF-49E2-A920-ADC980F79D9C}"/>
                            </a:ext>
                          </a:extLst>
                        </wps:cNvPr>
                        <wps:cNvCnPr>
                          <a:stCxn id="2" idx="6"/>
                          <a:endCxn id="6" idx="2"/>
                        </wps:cNvCnPr>
                        <wps:spPr>
                          <a:xfrm flipV="1">
                            <a:off x="2858027" y="2965481"/>
                            <a:ext cx="2219156" cy="4217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a:extLst>
                            <a:ext uri="{FF2B5EF4-FFF2-40B4-BE49-F238E27FC236}">
                              <a16:creationId xmlns:a16="http://schemas.microsoft.com/office/drawing/2014/main" id="{447031EB-0FE4-42A4-9463-D69ACA1A14F3}"/>
                            </a:ext>
                          </a:extLst>
                        </wps:cNvPr>
                        <wps:cNvCnPr>
                          <a:stCxn id="6" idx="0"/>
                          <a:endCxn id="5" idx="4"/>
                        </wps:cNvCnPr>
                        <wps:spPr>
                          <a:xfrm flipV="1">
                            <a:off x="5662170" y="1675886"/>
                            <a:ext cx="825624" cy="94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a:extLst>
                            <a:ext uri="{FF2B5EF4-FFF2-40B4-BE49-F238E27FC236}">
                              <a16:creationId xmlns:a16="http://schemas.microsoft.com/office/drawing/2014/main" id="{F3F032BC-6440-4C89-963F-74F3DCF7BB7F}"/>
                            </a:ext>
                          </a:extLst>
                        </wps:cNvPr>
                        <wps:cNvCnPr>
                          <a:cxnSpLocks/>
                          <a:stCxn id="4" idx="6"/>
                          <a:endCxn id="5" idx="2"/>
                        </wps:cNvCnPr>
                        <wps:spPr>
                          <a:xfrm>
                            <a:off x="3117572" y="1221176"/>
                            <a:ext cx="2639453" cy="76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Oval 12">
                          <a:extLst>
                            <a:ext uri="{FF2B5EF4-FFF2-40B4-BE49-F238E27FC236}">
                              <a16:creationId xmlns:a16="http://schemas.microsoft.com/office/drawing/2014/main" id="{52095B3E-7EB6-4820-8671-A78BBF986260}"/>
                            </a:ext>
                          </a:extLst>
                        </wps:cNvPr>
                        <wps:cNvSpPr/>
                        <wps:spPr>
                          <a:xfrm>
                            <a:off x="1" y="1853721"/>
                            <a:ext cx="1568899" cy="815009"/>
                          </a:xfrm>
                          <a:prstGeom prst="ellipse">
                            <a:avLst/>
                          </a:prstGeom>
                          <a:noFill/>
                        </wps:spPr>
                        <wps:style>
                          <a:lnRef idx="2">
                            <a:schemeClr val="dk1"/>
                          </a:lnRef>
                          <a:fillRef idx="1">
                            <a:schemeClr val="lt1"/>
                          </a:fillRef>
                          <a:effectRef idx="0">
                            <a:schemeClr val="dk1"/>
                          </a:effectRef>
                          <a:fontRef idx="minor">
                            <a:schemeClr val="dk1"/>
                          </a:fontRef>
                        </wps:style>
                        <wps:txbx>
                          <w:txbxContent>
                            <w:p w14:paraId="0A1E26A6" w14:textId="77777777" w:rsidR="00690781" w:rsidRPr="00690781" w:rsidRDefault="00690781" w:rsidP="00690781">
                              <w:pPr>
                                <w:jc w:val="center"/>
                                <w:rPr>
                                  <w:rFonts w:hAnsi="Calibri"/>
                                  <w:kern w:val="24"/>
                                  <w:sz w:val="16"/>
                                  <w:szCs w:val="16"/>
                                </w:rPr>
                              </w:pPr>
                              <w:r w:rsidRPr="00690781">
                                <w:rPr>
                                  <w:rFonts w:hAnsi="Calibri"/>
                                  <w:kern w:val="24"/>
                                  <w:sz w:val="16"/>
                                  <w:szCs w:val="16"/>
                                </w:rPr>
                                <w:t>Confirmatory Expectations</w:t>
                              </w:r>
                            </w:p>
                          </w:txbxContent>
                        </wps:txbx>
                        <wps:bodyPr rtlCol="0" anchor="ctr"/>
                      </wps:wsp>
                      <wps:wsp>
                        <wps:cNvPr id="13" name="Straight Arrow Connector 13">
                          <a:extLst>
                            <a:ext uri="{FF2B5EF4-FFF2-40B4-BE49-F238E27FC236}">
                              <a16:creationId xmlns:a16="http://schemas.microsoft.com/office/drawing/2014/main" id="{163FC3DD-B6BD-419C-AA88-09A7DDD5E0FA}"/>
                            </a:ext>
                          </a:extLst>
                        </wps:cNvPr>
                        <wps:cNvCnPr>
                          <a:cxnSpLocks/>
                          <a:stCxn id="12" idx="7"/>
                          <a:endCxn id="4" idx="3"/>
                        </wps:cNvCnPr>
                        <wps:spPr>
                          <a:xfrm flipV="1">
                            <a:off x="1339140" y="1509313"/>
                            <a:ext cx="518844" cy="4637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TextBox 44">
                          <a:extLst>
                            <a:ext uri="{FF2B5EF4-FFF2-40B4-BE49-F238E27FC236}">
                              <a16:creationId xmlns:a16="http://schemas.microsoft.com/office/drawing/2014/main" id="{B3938581-EE7D-4420-833C-1B0E2FD2AD18}"/>
                            </a:ext>
                          </a:extLst>
                        </wps:cNvPr>
                        <wps:cNvSpPr txBox="1"/>
                        <wps:spPr>
                          <a:xfrm>
                            <a:off x="3013270" y="870065"/>
                            <a:ext cx="620394" cy="427355"/>
                          </a:xfrm>
                          <a:prstGeom prst="rect">
                            <a:avLst/>
                          </a:prstGeom>
                          <a:noFill/>
                        </wps:spPr>
                        <wps:txbx>
                          <w:txbxContent>
                            <w:p w14:paraId="41BD6FB8" w14:textId="024D0AA9" w:rsidR="00690781" w:rsidRPr="00BB2FA6" w:rsidRDefault="00BB2FA6" w:rsidP="00690781">
                              <w:pPr>
                                <w:rPr>
                                  <w:rFonts w:hAnsi="Calibri"/>
                                  <w:color w:val="000000" w:themeColor="text1"/>
                                  <w:kern w:val="24"/>
                                  <w:sz w:val="18"/>
                                  <w:szCs w:val="18"/>
                                </w:rPr>
                              </w:pPr>
                              <w:r>
                                <w:rPr>
                                  <w:rFonts w:hAnsi="Calibri"/>
                                  <w:color w:val="000000" w:themeColor="text1"/>
                                  <w:kern w:val="24"/>
                                  <w:sz w:val="18"/>
                                  <w:szCs w:val="18"/>
                                </w:rPr>
                                <w:t>H2a</w:t>
                              </w:r>
                            </w:p>
                          </w:txbxContent>
                        </wps:txbx>
                        <wps:bodyPr wrap="square" rtlCol="0">
                          <a:noAutofit/>
                        </wps:bodyPr>
                      </wps:wsp>
                      <wps:wsp>
                        <wps:cNvPr id="15" name="TextBox 45">
                          <a:extLst>
                            <a:ext uri="{FF2B5EF4-FFF2-40B4-BE49-F238E27FC236}">
                              <a16:creationId xmlns:a16="http://schemas.microsoft.com/office/drawing/2014/main" id="{8959CA55-2664-426A-B74D-A4F6B15D0727}"/>
                            </a:ext>
                          </a:extLst>
                        </wps:cNvPr>
                        <wps:cNvSpPr txBox="1"/>
                        <wps:spPr>
                          <a:xfrm>
                            <a:off x="3013265" y="1392132"/>
                            <a:ext cx="580390" cy="427355"/>
                          </a:xfrm>
                          <a:prstGeom prst="rect">
                            <a:avLst/>
                          </a:prstGeom>
                          <a:noFill/>
                        </wps:spPr>
                        <wps:txbx>
                          <w:txbxContent>
                            <w:p w14:paraId="1B73AF47" w14:textId="79FC1A4C" w:rsidR="00690781" w:rsidRPr="00BB2FA6" w:rsidRDefault="00BB2FA6" w:rsidP="00690781">
                              <w:pPr>
                                <w:rPr>
                                  <w:rFonts w:hAnsi="Calibri"/>
                                  <w:color w:val="000000" w:themeColor="text1"/>
                                  <w:kern w:val="24"/>
                                  <w:sz w:val="18"/>
                                  <w:szCs w:val="18"/>
                                </w:rPr>
                              </w:pPr>
                              <w:r>
                                <w:rPr>
                                  <w:rFonts w:hAnsi="Calibri"/>
                                  <w:color w:val="000000" w:themeColor="text1"/>
                                  <w:kern w:val="24"/>
                                  <w:sz w:val="18"/>
                                  <w:szCs w:val="18"/>
                                </w:rPr>
                                <w:t>H2b</w:t>
                              </w:r>
                            </w:p>
                          </w:txbxContent>
                        </wps:txbx>
                        <wps:bodyPr wrap="square" rtlCol="0">
                          <a:noAutofit/>
                        </wps:bodyPr>
                      </wps:wsp>
                      <wps:wsp>
                        <wps:cNvPr id="16" name="Straight Arrow Connector 16">
                          <a:extLst>
                            <a:ext uri="{FF2B5EF4-FFF2-40B4-BE49-F238E27FC236}">
                              <a16:creationId xmlns:a16="http://schemas.microsoft.com/office/drawing/2014/main" id="{1718F6DD-F4D6-4413-BB73-FBA9A248E26D}"/>
                            </a:ext>
                          </a:extLst>
                        </wps:cNvPr>
                        <wps:cNvCnPr>
                          <a:stCxn id="12" idx="6"/>
                          <a:endCxn id="5" idx="2"/>
                        </wps:cNvCnPr>
                        <wps:spPr>
                          <a:xfrm flipV="1">
                            <a:off x="1568900" y="1297420"/>
                            <a:ext cx="4188125" cy="963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7">
                          <a:extLst>
                            <a:ext uri="{FF2B5EF4-FFF2-40B4-BE49-F238E27FC236}">
                              <a16:creationId xmlns:a16="http://schemas.microsoft.com/office/drawing/2014/main" id="{965ADBBF-B010-459A-9629-678B00549FBA}"/>
                            </a:ext>
                          </a:extLst>
                        </wps:cNvPr>
                        <wps:cNvCnPr>
                          <a:stCxn id="12" idx="6"/>
                          <a:endCxn id="6" idx="2"/>
                        </wps:cNvCnPr>
                        <wps:spPr>
                          <a:xfrm>
                            <a:off x="1568900" y="2261225"/>
                            <a:ext cx="3508283" cy="7042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TextBox 53">
                          <a:extLst>
                            <a:ext uri="{FF2B5EF4-FFF2-40B4-BE49-F238E27FC236}">
                              <a16:creationId xmlns:a16="http://schemas.microsoft.com/office/drawing/2014/main" id="{0BED1849-3314-4A1F-A47C-09A5683676BE}"/>
                            </a:ext>
                          </a:extLst>
                        </wps:cNvPr>
                        <wps:cNvSpPr txBox="1"/>
                        <wps:spPr>
                          <a:xfrm>
                            <a:off x="1568920" y="1913701"/>
                            <a:ext cx="580390" cy="427355"/>
                          </a:xfrm>
                          <a:prstGeom prst="rect">
                            <a:avLst/>
                          </a:prstGeom>
                          <a:noFill/>
                        </wps:spPr>
                        <wps:txbx>
                          <w:txbxContent>
                            <w:p w14:paraId="4017EA92" w14:textId="661203B0" w:rsidR="00690781" w:rsidRPr="00B4237A" w:rsidRDefault="00BB2FA6" w:rsidP="00690781">
                              <w:pPr>
                                <w:rPr>
                                  <w:rFonts w:hAnsi="Calibri"/>
                                  <w:color w:val="000000" w:themeColor="text1"/>
                                  <w:kern w:val="24"/>
                                  <w:sz w:val="18"/>
                                  <w:szCs w:val="18"/>
                                </w:rPr>
                              </w:pPr>
                              <w:r w:rsidRPr="00B4237A">
                                <w:rPr>
                                  <w:rFonts w:hAnsi="Calibri"/>
                                  <w:color w:val="000000" w:themeColor="text1"/>
                                  <w:kern w:val="24"/>
                                  <w:sz w:val="18"/>
                                  <w:szCs w:val="18"/>
                                </w:rPr>
                                <w:t>H1b</w:t>
                              </w:r>
                            </w:p>
                          </w:txbxContent>
                        </wps:txbx>
                        <wps:bodyPr wrap="square" rtlCol="0">
                          <a:noAutofit/>
                        </wps:bodyPr>
                      </wps:wsp>
                      <wps:wsp>
                        <wps:cNvPr id="19" name="TextBox 54">
                          <a:extLst>
                            <a:ext uri="{FF2B5EF4-FFF2-40B4-BE49-F238E27FC236}">
                              <a16:creationId xmlns:a16="http://schemas.microsoft.com/office/drawing/2014/main" id="{25858027-4B73-444C-A195-687192CB28D1}"/>
                            </a:ext>
                          </a:extLst>
                        </wps:cNvPr>
                        <wps:cNvSpPr txBox="1"/>
                        <wps:spPr>
                          <a:xfrm>
                            <a:off x="3044485" y="3389184"/>
                            <a:ext cx="787415" cy="427355"/>
                          </a:xfrm>
                          <a:prstGeom prst="rect">
                            <a:avLst/>
                          </a:prstGeom>
                          <a:noFill/>
                        </wps:spPr>
                        <wps:txbx>
                          <w:txbxContent>
                            <w:p w14:paraId="708EAA38" w14:textId="6D188344" w:rsidR="00690781" w:rsidRPr="00BB2FA6" w:rsidRDefault="00BB2FA6" w:rsidP="00690781">
                              <w:pPr>
                                <w:rPr>
                                  <w:rFonts w:hAnsi="Calibri"/>
                                  <w:color w:val="000000" w:themeColor="text1"/>
                                  <w:kern w:val="24"/>
                                  <w:sz w:val="18"/>
                                  <w:szCs w:val="18"/>
                                </w:rPr>
                              </w:pPr>
                              <w:r>
                                <w:rPr>
                                  <w:rFonts w:hAnsi="Calibri"/>
                                  <w:color w:val="000000" w:themeColor="text1"/>
                                  <w:kern w:val="24"/>
                                  <w:sz w:val="18"/>
                                  <w:szCs w:val="18"/>
                                </w:rPr>
                                <w:t>H4b</w:t>
                              </w:r>
                            </w:p>
                          </w:txbxContent>
                        </wps:txbx>
                        <wps:bodyPr wrap="square" rtlCol="0">
                          <a:noAutofit/>
                        </wps:bodyPr>
                      </wps:wsp>
                      <wps:wsp>
                        <wps:cNvPr id="20" name="TextBox 57">
                          <a:extLst>
                            <a:ext uri="{FF2B5EF4-FFF2-40B4-BE49-F238E27FC236}">
                              <a16:creationId xmlns:a16="http://schemas.microsoft.com/office/drawing/2014/main" id="{5746F6BC-352D-4BCD-AAC0-5BB95703F6A3}"/>
                            </a:ext>
                          </a:extLst>
                        </wps:cNvPr>
                        <wps:cNvSpPr txBox="1"/>
                        <wps:spPr>
                          <a:xfrm>
                            <a:off x="1483649" y="2344946"/>
                            <a:ext cx="580390" cy="427355"/>
                          </a:xfrm>
                          <a:prstGeom prst="rect">
                            <a:avLst/>
                          </a:prstGeom>
                          <a:noFill/>
                        </wps:spPr>
                        <wps:txbx>
                          <w:txbxContent>
                            <w:p w14:paraId="2C25159D" w14:textId="139C4559" w:rsidR="00690781" w:rsidRPr="00BB2FA6" w:rsidRDefault="00BB2FA6" w:rsidP="00690781">
                              <w:pPr>
                                <w:rPr>
                                  <w:rFonts w:hAnsi="Calibri"/>
                                  <w:color w:val="000000" w:themeColor="text1"/>
                                  <w:kern w:val="24"/>
                                  <w:sz w:val="18"/>
                                  <w:szCs w:val="18"/>
                                </w:rPr>
                              </w:pPr>
                              <w:r>
                                <w:rPr>
                                  <w:rFonts w:hAnsi="Calibri"/>
                                  <w:color w:val="000000" w:themeColor="text1"/>
                                  <w:kern w:val="24"/>
                                  <w:sz w:val="18"/>
                                  <w:szCs w:val="18"/>
                                </w:rPr>
                                <w:t>H1c</w:t>
                              </w:r>
                            </w:p>
                          </w:txbxContent>
                        </wps:txbx>
                        <wps:bodyPr wrap="square" rtlCol="0">
                          <a:noAutofit/>
                        </wps:bodyPr>
                      </wps:wsp>
                      <wps:wsp>
                        <wps:cNvPr id="21" name="TextBox 58">
                          <a:extLst>
                            <a:ext uri="{FF2B5EF4-FFF2-40B4-BE49-F238E27FC236}">
                              <a16:creationId xmlns:a16="http://schemas.microsoft.com/office/drawing/2014/main" id="{F687C680-B2FD-4341-8752-21F83B8DFE67}"/>
                            </a:ext>
                          </a:extLst>
                        </wps:cNvPr>
                        <wps:cNvSpPr txBox="1"/>
                        <wps:spPr>
                          <a:xfrm>
                            <a:off x="1114008" y="1509313"/>
                            <a:ext cx="645298" cy="325209"/>
                          </a:xfrm>
                          <a:prstGeom prst="rect">
                            <a:avLst/>
                          </a:prstGeom>
                          <a:noFill/>
                        </wps:spPr>
                        <wps:txbx>
                          <w:txbxContent>
                            <w:p w14:paraId="25BAF7D6" w14:textId="317DA9EC" w:rsidR="00690781" w:rsidRPr="00BB2FA6" w:rsidRDefault="00690781" w:rsidP="00690781">
                              <w:pPr>
                                <w:rPr>
                                  <w:rFonts w:hAnsi="Calibri"/>
                                  <w:color w:val="000000" w:themeColor="text1"/>
                                  <w:kern w:val="24"/>
                                  <w:sz w:val="18"/>
                                  <w:szCs w:val="18"/>
                                </w:rPr>
                              </w:pPr>
                              <w:r w:rsidRPr="00BB2FA6">
                                <w:rPr>
                                  <w:rFonts w:hAnsi="Calibri"/>
                                  <w:color w:val="000000" w:themeColor="text1"/>
                                  <w:kern w:val="24"/>
                                  <w:sz w:val="18"/>
                                  <w:szCs w:val="18"/>
                                </w:rPr>
                                <w:t>H</w:t>
                              </w:r>
                              <w:r w:rsidR="00BB2FA6">
                                <w:rPr>
                                  <w:rFonts w:hAnsi="Calibri"/>
                                  <w:color w:val="000000" w:themeColor="text1"/>
                                  <w:kern w:val="24"/>
                                  <w:sz w:val="18"/>
                                  <w:szCs w:val="18"/>
                                </w:rPr>
                                <w:t>1a</w:t>
                              </w:r>
                            </w:p>
                          </w:txbxContent>
                        </wps:txbx>
                        <wps:bodyPr wrap="square" rtlCol="0">
                          <a:noAutofit/>
                        </wps:bodyPr>
                      </wps:wsp>
                      <wps:wsp>
                        <wps:cNvPr id="22" name="TextBox 59">
                          <a:extLst>
                            <a:ext uri="{FF2B5EF4-FFF2-40B4-BE49-F238E27FC236}">
                              <a16:creationId xmlns:a16="http://schemas.microsoft.com/office/drawing/2014/main" id="{E7706672-8FB5-442F-B37F-DA66A6BFFFF3}"/>
                            </a:ext>
                          </a:extLst>
                        </wps:cNvPr>
                        <wps:cNvSpPr txBox="1"/>
                        <wps:spPr>
                          <a:xfrm>
                            <a:off x="2824042" y="2885973"/>
                            <a:ext cx="703875" cy="427355"/>
                          </a:xfrm>
                          <a:prstGeom prst="rect">
                            <a:avLst/>
                          </a:prstGeom>
                          <a:noFill/>
                        </wps:spPr>
                        <wps:txbx>
                          <w:txbxContent>
                            <w:p w14:paraId="10C29161" w14:textId="605DB0EE" w:rsidR="00690781" w:rsidRPr="00BB2FA6" w:rsidRDefault="00690781" w:rsidP="00690781">
                              <w:pPr>
                                <w:rPr>
                                  <w:rFonts w:hAnsi="Calibri"/>
                                  <w:color w:val="000000" w:themeColor="text1"/>
                                  <w:kern w:val="24"/>
                                  <w:sz w:val="18"/>
                                  <w:szCs w:val="18"/>
                                </w:rPr>
                              </w:pPr>
                              <w:r w:rsidRPr="00BB2FA6">
                                <w:rPr>
                                  <w:rFonts w:hAnsi="Calibri"/>
                                  <w:color w:val="000000" w:themeColor="text1"/>
                                  <w:kern w:val="24"/>
                                  <w:sz w:val="18"/>
                                  <w:szCs w:val="18"/>
                                </w:rPr>
                                <w:t>H</w:t>
                              </w:r>
                              <w:r w:rsidR="00BB2FA6" w:rsidRPr="00BB2FA6">
                                <w:rPr>
                                  <w:rFonts w:hAnsi="Calibri"/>
                                  <w:color w:val="000000" w:themeColor="text1"/>
                                  <w:kern w:val="24"/>
                                  <w:sz w:val="18"/>
                                  <w:szCs w:val="18"/>
                                </w:rPr>
                                <w:t>4a</w:t>
                              </w:r>
                            </w:p>
                          </w:txbxContent>
                        </wps:txbx>
                        <wps:bodyPr wrap="square" rtlCol="0">
                          <a:noAutofit/>
                        </wps:bodyPr>
                      </wps:wsp>
                      <wps:wsp>
                        <wps:cNvPr id="23" name="TextBox 60">
                          <a:extLst>
                            <a:ext uri="{FF2B5EF4-FFF2-40B4-BE49-F238E27FC236}">
                              <a16:creationId xmlns:a16="http://schemas.microsoft.com/office/drawing/2014/main" id="{B1A5B4A5-4F1F-439B-AA4B-FACFEA989480}"/>
                            </a:ext>
                          </a:extLst>
                        </wps:cNvPr>
                        <wps:cNvSpPr txBox="1"/>
                        <wps:spPr>
                          <a:xfrm>
                            <a:off x="5996299" y="2150085"/>
                            <a:ext cx="580390" cy="427355"/>
                          </a:xfrm>
                          <a:prstGeom prst="rect">
                            <a:avLst/>
                          </a:prstGeom>
                          <a:noFill/>
                        </wps:spPr>
                        <wps:txbx>
                          <w:txbxContent>
                            <w:p w14:paraId="134FF867" w14:textId="34750D2A" w:rsidR="00690781" w:rsidRPr="00BB2FA6" w:rsidRDefault="00BB2FA6" w:rsidP="00690781">
                              <w:pPr>
                                <w:rPr>
                                  <w:rFonts w:hAnsi="Calibri"/>
                                  <w:color w:val="000000" w:themeColor="text1"/>
                                  <w:kern w:val="24"/>
                                  <w:sz w:val="18"/>
                                  <w:szCs w:val="18"/>
                                </w:rPr>
                              </w:pPr>
                              <w:r w:rsidRPr="00BB2FA6">
                                <w:rPr>
                                  <w:rFonts w:hAnsi="Calibri"/>
                                  <w:color w:val="000000" w:themeColor="text1"/>
                                  <w:kern w:val="24"/>
                                  <w:sz w:val="18"/>
                                  <w:szCs w:val="18"/>
                                </w:rPr>
                                <w:t>H3</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BED5AFA" id="Group 2" o:spid="_x0000_s1026" style="position:absolute;left:0;text-align:left;margin-left:6.25pt;margin-top:10.25pt;width:429.45pt;height:198pt;z-index:251659264;mso-width-relative:margin;mso-height-relative:margin" coordorigin=",8136" coordsize="72185,30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">
                <v:oval id="Oval 2" o:spid="_x0000_s1027" style="position:absolute;left:14313;top:29797;width:14267;height:8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" fillcolor="white [3201]" strokecolor="black [3200]" strokeweight="1pt">
                  <v:stroke joinstyle="miter"/>
                  <v:textbox>
                    <w:txbxContent>
                      <w:p w14:paraId="5507CEA7" w14:textId="77777777" w:rsidR="00690781" w:rsidRPr="00690781" w:rsidRDefault="00690781" w:rsidP="00690781">
                        <w:pPr>
                          <w:jc w:val="center"/>
                          <w:rPr>
                            <w:rFonts w:hAnsi="Calibri"/>
                            <w:kern w:val="24"/>
                            <w:sz w:val="16"/>
                            <w:szCs w:val="16"/>
                          </w:rPr>
                        </w:pPr>
                        <w:r w:rsidRPr="00690781">
                          <w:rPr>
                            <w:rFonts w:hAnsi="Calibri"/>
                            <w:kern w:val="24"/>
                            <w:sz w:val="16"/>
                            <w:szCs w:val="16"/>
                          </w:rPr>
                          <w:t>Privacy Cynicism</w:t>
                        </w:r>
                      </w:p>
                    </w:txbxContent>
                  </v:textbox>
                </v:oval>
                <v:oval id="Oval 4" o:spid="_x0000_s1028" style="position:absolute;left:16418;top:8136;width:14757;height:8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" fillcolor="white [3201]" strokecolor="black [3200]" strokeweight="1pt">
                  <v:stroke joinstyle="miter"/>
                  <v:textbox>
                    <w:txbxContent>
                      <w:p w14:paraId="278FAE91" w14:textId="77777777" w:rsidR="00690781" w:rsidRPr="00690781" w:rsidRDefault="00690781" w:rsidP="00690781">
                        <w:pPr>
                          <w:jc w:val="center"/>
                          <w:rPr>
                            <w:rFonts w:hAnsi="Calibri"/>
                            <w:kern w:val="24"/>
                            <w:sz w:val="16"/>
                            <w:szCs w:val="16"/>
                          </w:rPr>
                        </w:pPr>
                        <w:r w:rsidRPr="00690781">
                          <w:rPr>
                            <w:rFonts w:hAnsi="Calibri"/>
                            <w:kern w:val="24"/>
                            <w:sz w:val="16"/>
                            <w:szCs w:val="16"/>
                          </w:rPr>
                          <w:t>Perceived Usefulness</w:t>
                        </w:r>
                      </w:p>
                    </w:txbxContent>
                  </v:textbox>
                </v:oval>
                <v:oval id="Oval 5" o:spid="_x0000_s1029" style="position:absolute;left:57570;top:9189;width:14615;height:7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" fillcolor="white [3201]" strokecolor="black [3200]" strokeweight="1pt">
                  <v:stroke joinstyle="miter"/>
                  <v:textbox>
                    <w:txbxContent>
                      <w:p w14:paraId="4E28B89B" w14:textId="45EA3AFF" w:rsidR="00690781" w:rsidRPr="00BB2FA6" w:rsidRDefault="00690781" w:rsidP="00690781">
                        <w:pPr>
                          <w:jc w:val="center"/>
                          <w:rPr>
                            <w:rFonts w:hAnsi="Calibri"/>
                            <w:kern w:val="24"/>
                            <w:sz w:val="16"/>
                            <w:szCs w:val="16"/>
                          </w:rPr>
                        </w:pPr>
                        <w:r w:rsidRPr="00BB2FA6">
                          <w:rPr>
                            <w:rFonts w:hAnsi="Calibri"/>
                            <w:kern w:val="24"/>
                            <w:sz w:val="16"/>
                            <w:szCs w:val="16"/>
                          </w:rPr>
                          <w:t>Satisfaction</w:t>
                        </w:r>
                      </w:p>
                    </w:txbxContent>
                  </v:textbox>
                </v:oval>
                <v:oval id="Oval 6" o:spid="_x0000_s1030" style="position:absolute;left:50771;top:26176;width:11700;height:6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" filled="f" strokecolor="black [3200]" strokeweight="1pt">
                  <v:stroke joinstyle="miter"/>
                  <v:textbox>
                    <w:txbxContent>
                      <w:p w14:paraId="0B3EFA8A" w14:textId="77777777" w:rsidR="00690781" w:rsidRPr="00BB2FA6" w:rsidRDefault="00690781" w:rsidP="00690781">
                        <w:pPr>
                          <w:jc w:val="center"/>
                          <w:rPr>
                            <w:rFonts w:hAnsi="Calibri"/>
                            <w:kern w:val="24"/>
                            <w:sz w:val="16"/>
                            <w:szCs w:val="16"/>
                          </w:rPr>
                        </w:pPr>
                        <w:r w:rsidRPr="00BB2FA6">
                          <w:rPr>
                            <w:rFonts w:hAnsi="Calibri"/>
                            <w:kern w:val="24"/>
                            <w:sz w:val="16"/>
                            <w:szCs w:val="16"/>
                          </w:rPr>
                          <w:t>Trust</w:t>
                        </w:r>
                      </w:p>
                    </w:txbxContent>
                  </v:textbox>
                </v:oval>
                <v:shapetype id="_x0000_t32" coordsize="21600,21600" o:spt="32" o:oned="t" path="m,l21600,21600e" filled="f">
                  <v:path arrowok="t" fillok="f" o:connecttype="none"/>
                  <o:lock v:ext="edit" shapetype="t"/>
                </v:shapetype>
                <v:shape id="Straight Arrow Connector 7" o:spid="_x0000_s1031" type="#_x0000_t32" style="position:absolute;left:28580;top:12974;width:28990;height:208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" strokecolor="black [3200]" strokeweight=".5pt">
                  <v:stroke endarrow="block" joinstyle="miter"/>
                </v:shape>
                <v:shape id="Straight Arrow Connector 8" o:spid="_x0000_s1032" type="#_x0000_t32" style="position:absolute;left:31175;top:12211;width:19596;height:17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" strokecolor="black [3200]" strokeweight=".5pt">
                  <v:stroke endarrow="block" joinstyle="miter"/>
                </v:shape>
                <v:shape id="Straight Arrow Connector 9" o:spid="_x0000_s1033" type="#_x0000_t32" style="position:absolute;left:28580;top:29654;width:22191;height:42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" strokecolor="black [3200]" strokeweight=".5pt">
                  <v:stroke endarrow="block" joinstyle="miter"/>
                </v:shape>
                <v:shape id="Straight Arrow Connector 10" o:spid="_x0000_s1034" type="#_x0000_t32" style="position:absolute;left:56621;top:16758;width:8256;height:94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" strokecolor="black [3200]" strokeweight=".5pt">
                  <v:stroke endarrow="block" joinstyle="miter"/>
                </v:shape>
                <v:shape id="Straight Arrow Connector 11" o:spid="_x0000_s1035" type="#_x0000_t32" style="position:absolute;left:31175;top:12211;width:26395;height: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o:lock v:ext="edit" shapetype="f"/>
                </v:shape>
                <v:oval id="Oval 12" o:spid="_x0000_s1036" style="position:absolute;top:18537;width:15689;height:8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" filled="f" strokecolor="black [3200]" strokeweight="1pt">
                  <v:stroke joinstyle="miter"/>
                  <v:textbox>
                    <w:txbxContent>
                      <w:p w14:paraId="0A1E26A6" w14:textId="77777777" w:rsidR="00690781" w:rsidRPr="00690781" w:rsidRDefault="00690781" w:rsidP="00690781">
                        <w:pPr>
                          <w:jc w:val="center"/>
                          <w:rPr>
                            <w:rFonts w:hAnsi="Calibri"/>
                            <w:kern w:val="24"/>
                            <w:sz w:val="16"/>
                            <w:szCs w:val="16"/>
                          </w:rPr>
                        </w:pPr>
                        <w:r w:rsidRPr="00690781">
                          <w:rPr>
                            <w:rFonts w:hAnsi="Calibri"/>
                            <w:kern w:val="24"/>
                            <w:sz w:val="16"/>
                            <w:szCs w:val="16"/>
                          </w:rPr>
                          <w:t>Confirmatory Expectations</w:t>
                        </w:r>
                      </w:p>
                    </w:txbxContent>
                  </v:textbox>
                </v:oval>
                <v:shape id="Straight Arrow Connector 13" o:spid="_x0000_s1037" type="#_x0000_t32" style="position:absolute;left:13391;top:15093;width:5188;height:46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" strokecolor="black [3200]" strokeweight=".5pt">
                  <v:stroke endarrow="block" joinstyle="miter"/>
                  <o:lock v:ext="edit" shapetype="f"/>
                </v:shape>
                <v:shapetype id="_x0000_t202" coordsize="21600,21600" o:spt="202" path="m,l,21600r21600,l21600,xe">
                  <v:stroke joinstyle="miter"/>
                  <v:path gradientshapeok="t" o:connecttype="rect"/>
                </v:shapetype>
                <v:shape id="TextBox 44" o:spid="_x0000_s1038" type="#_x0000_t202" style="position:absolute;left:30132;top:8700;width:6204;height:4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41BD6FB8" w14:textId="024D0AA9" w:rsidR="00690781" w:rsidRPr="00BB2FA6" w:rsidRDefault="00BB2FA6" w:rsidP="00690781">
                        <w:pPr>
                          <w:rPr>
                            <w:rFonts w:hAnsi="Calibri"/>
                            <w:color w:val="000000" w:themeColor="text1"/>
                            <w:kern w:val="24"/>
                            <w:sz w:val="18"/>
                            <w:szCs w:val="18"/>
                          </w:rPr>
                        </w:pPr>
                        <w:r>
                          <w:rPr>
                            <w:rFonts w:hAnsi="Calibri"/>
                            <w:color w:val="000000" w:themeColor="text1"/>
                            <w:kern w:val="24"/>
                            <w:sz w:val="18"/>
                            <w:szCs w:val="18"/>
                          </w:rPr>
                          <w:t>H2a</w:t>
                        </w:r>
                      </w:p>
                    </w:txbxContent>
                  </v:textbox>
                </v:shape>
                <v:shape id="TextBox 45" o:spid="_x0000_s1039" type="#_x0000_t202" style="position:absolute;left:30132;top:13921;width:5804;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B73AF47" w14:textId="79FC1A4C" w:rsidR="00690781" w:rsidRPr="00BB2FA6" w:rsidRDefault="00BB2FA6" w:rsidP="00690781">
                        <w:pPr>
                          <w:rPr>
                            <w:rFonts w:hAnsi="Calibri"/>
                            <w:color w:val="000000" w:themeColor="text1"/>
                            <w:kern w:val="24"/>
                            <w:sz w:val="18"/>
                            <w:szCs w:val="18"/>
                          </w:rPr>
                        </w:pPr>
                        <w:r>
                          <w:rPr>
                            <w:rFonts w:hAnsi="Calibri"/>
                            <w:color w:val="000000" w:themeColor="text1"/>
                            <w:kern w:val="24"/>
                            <w:sz w:val="18"/>
                            <w:szCs w:val="18"/>
                          </w:rPr>
                          <w:t>H2b</w:t>
                        </w:r>
                      </w:p>
                    </w:txbxContent>
                  </v:textbox>
                </v:shape>
                <v:shape id="Straight Arrow Connector 16" o:spid="_x0000_s1040" type="#_x0000_t32" style="position:absolute;left:15689;top:12974;width:41881;height:96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" strokecolor="black [3200]" strokeweight=".5pt">
                  <v:stroke endarrow="block" joinstyle="miter"/>
                </v:shape>
                <v:shape id="Straight Arrow Connector 17" o:spid="_x0000_s1041" type="#_x0000_t32" style="position:absolute;left:15689;top:22612;width:35082;height:70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" strokecolor="black [3200]" strokeweight=".5pt">
                  <v:stroke endarrow="block" joinstyle="miter"/>
                </v:shape>
                <v:shape id="TextBox 53" o:spid="_x0000_s1042" type="#_x0000_t202" style="position:absolute;left:15689;top:19137;width:5804;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017EA92" w14:textId="661203B0" w:rsidR="00690781" w:rsidRPr="00B4237A" w:rsidRDefault="00BB2FA6" w:rsidP="00690781">
                        <w:pPr>
                          <w:rPr>
                            <w:rFonts w:hAnsi="Calibri"/>
                            <w:color w:val="000000" w:themeColor="text1"/>
                            <w:kern w:val="24"/>
                            <w:sz w:val="18"/>
                            <w:szCs w:val="18"/>
                          </w:rPr>
                        </w:pPr>
                        <w:r w:rsidRPr="00B4237A">
                          <w:rPr>
                            <w:rFonts w:hAnsi="Calibri"/>
                            <w:color w:val="000000" w:themeColor="text1"/>
                            <w:kern w:val="24"/>
                            <w:sz w:val="18"/>
                            <w:szCs w:val="18"/>
                          </w:rPr>
                          <w:t>H1b</w:t>
                        </w:r>
                      </w:p>
                    </w:txbxContent>
                  </v:textbox>
                </v:shape>
                <v:shape id="TextBox 54" o:spid="_x0000_s1043" type="#_x0000_t202" style="position:absolute;left:30444;top:33891;width:7875;height:4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08EAA38" w14:textId="6D188344" w:rsidR="00690781" w:rsidRPr="00BB2FA6" w:rsidRDefault="00BB2FA6" w:rsidP="00690781">
                        <w:pPr>
                          <w:rPr>
                            <w:rFonts w:hAnsi="Calibri"/>
                            <w:color w:val="000000" w:themeColor="text1"/>
                            <w:kern w:val="24"/>
                            <w:sz w:val="18"/>
                            <w:szCs w:val="18"/>
                          </w:rPr>
                        </w:pPr>
                        <w:r>
                          <w:rPr>
                            <w:rFonts w:hAnsi="Calibri"/>
                            <w:color w:val="000000" w:themeColor="text1"/>
                            <w:kern w:val="24"/>
                            <w:sz w:val="18"/>
                            <w:szCs w:val="18"/>
                          </w:rPr>
                          <w:t>H4b</w:t>
                        </w:r>
                      </w:p>
                    </w:txbxContent>
                  </v:textbox>
                </v:shape>
                <v:shape id="TextBox 57" o:spid="_x0000_s1044" type="#_x0000_t202" style="position:absolute;left:14836;top:23449;width:5804;height:4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C25159D" w14:textId="139C4559" w:rsidR="00690781" w:rsidRPr="00BB2FA6" w:rsidRDefault="00BB2FA6" w:rsidP="00690781">
                        <w:pPr>
                          <w:rPr>
                            <w:rFonts w:hAnsi="Calibri"/>
                            <w:color w:val="000000" w:themeColor="text1"/>
                            <w:kern w:val="24"/>
                            <w:sz w:val="18"/>
                            <w:szCs w:val="18"/>
                          </w:rPr>
                        </w:pPr>
                        <w:r>
                          <w:rPr>
                            <w:rFonts w:hAnsi="Calibri"/>
                            <w:color w:val="000000" w:themeColor="text1"/>
                            <w:kern w:val="24"/>
                            <w:sz w:val="18"/>
                            <w:szCs w:val="18"/>
                          </w:rPr>
                          <w:t>H1c</w:t>
                        </w:r>
                      </w:p>
                    </w:txbxContent>
                  </v:textbox>
                </v:shape>
                <v:shape id="TextBox 58" o:spid="_x0000_s1045" type="#_x0000_t202" style="position:absolute;left:11140;top:15093;width:6453;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25BAF7D6" w14:textId="317DA9EC" w:rsidR="00690781" w:rsidRPr="00BB2FA6" w:rsidRDefault="00690781" w:rsidP="00690781">
                        <w:pPr>
                          <w:rPr>
                            <w:rFonts w:hAnsi="Calibri"/>
                            <w:color w:val="000000" w:themeColor="text1"/>
                            <w:kern w:val="24"/>
                            <w:sz w:val="18"/>
                            <w:szCs w:val="18"/>
                          </w:rPr>
                        </w:pPr>
                        <w:r w:rsidRPr="00BB2FA6">
                          <w:rPr>
                            <w:rFonts w:hAnsi="Calibri"/>
                            <w:color w:val="000000" w:themeColor="text1"/>
                            <w:kern w:val="24"/>
                            <w:sz w:val="18"/>
                            <w:szCs w:val="18"/>
                          </w:rPr>
                          <w:t>H</w:t>
                        </w:r>
                        <w:r w:rsidR="00BB2FA6">
                          <w:rPr>
                            <w:rFonts w:hAnsi="Calibri"/>
                            <w:color w:val="000000" w:themeColor="text1"/>
                            <w:kern w:val="24"/>
                            <w:sz w:val="18"/>
                            <w:szCs w:val="18"/>
                          </w:rPr>
                          <w:t>1a</w:t>
                        </w:r>
                      </w:p>
                    </w:txbxContent>
                  </v:textbox>
                </v:shape>
                <v:shape id="TextBox 59" o:spid="_x0000_s1046" type="#_x0000_t202" style="position:absolute;left:28240;top:28859;width:7039;height:4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0C29161" w14:textId="605DB0EE" w:rsidR="00690781" w:rsidRPr="00BB2FA6" w:rsidRDefault="00690781" w:rsidP="00690781">
                        <w:pPr>
                          <w:rPr>
                            <w:rFonts w:hAnsi="Calibri"/>
                            <w:color w:val="000000" w:themeColor="text1"/>
                            <w:kern w:val="24"/>
                            <w:sz w:val="18"/>
                            <w:szCs w:val="18"/>
                          </w:rPr>
                        </w:pPr>
                        <w:r w:rsidRPr="00BB2FA6">
                          <w:rPr>
                            <w:rFonts w:hAnsi="Calibri"/>
                            <w:color w:val="000000" w:themeColor="text1"/>
                            <w:kern w:val="24"/>
                            <w:sz w:val="18"/>
                            <w:szCs w:val="18"/>
                          </w:rPr>
                          <w:t>H</w:t>
                        </w:r>
                        <w:r w:rsidR="00BB2FA6" w:rsidRPr="00BB2FA6">
                          <w:rPr>
                            <w:rFonts w:hAnsi="Calibri"/>
                            <w:color w:val="000000" w:themeColor="text1"/>
                            <w:kern w:val="24"/>
                            <w:sz w:val="18"/>
                            <w:szCs w:val="18"/>
                          </w:rPr>
                          <w:t>4a</w:t>
                        </w:r>
                      </w:p>
                    </w:txbxContent>
                  </v:textbox>
                </v:shape>
                <v:shape id="TextBox 60" o:spid="_x0000_s1047" type="#_x0000_t202" style="position:absolute;left:59962;top:21500;width:5804;height:4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34FF867" w14:textId="34750D2A" w:rsidR="00690781" w:rsidRPr="00BB2FA6" w:rsidRDefault="00BB2FA6" w:rsidP="00690781">
                        <w:pPr>
                          <w:rPr>
                            <w:rFonts w:hAnsi="Calibri"/>
                            <w:color w:val="000000" w:themeColor="text1"/>
                            <w:kern w:val="24"/>
                            <w:sz w:val="18"/>
                            <w:szCs w:val="18"/>
                          </w:rPr>
                        </w:pPr>
                        <w:r w:rsidRPr="00BB2FA6">
                          <w:rPr>
                            <w:rFonts w:hAnsi="Calibri"/>
                            <w:color w:val="000000" w:themeColor="text1"/>
                            <w:kern w:val="24"/>
                            <w:sz w:val="18"/>
                            <w:szCs w:val="18"/>
                          </w:rPr>
                          <w:t>H3</w:t>
                        </w:r>
                      </w:p>
                    </w:txbxContent>
                  </v:textbox>
                </v:shape>
              </v:group>
            </w:pict>
          </mc:Fallback>
        </mc:AlternateContent>
      </w:r>
    </w:p>
    <w:p w14:paraId="6C95BF2B" w14:textId="47D3BFD8" w:rsidR="006D5C07" w:rsidRDefault="006D5C07" w:rsidP="00D32E59">
      <w:pPr>
        <w:spacing w:after="0" w:line="240" w:lineRule="auto"/>
        <w:jc w:val="both"/>
        <w:rPr>
          <w:rFonts w:ascii="Times New Roman" w:eastAsia="Times New Roman" w:hAnsi="Times New Roman" w:cs="Times New Roman"/>
          <w:sz w:val="24"/>
          <w:szCs w:val="24"/>
        </w:rPr>
      </w:pPr>
    </w:p>
    <w:p w14:paraId="2173989D" w14:textId="6AB27C06" w:rsidR="006D5C07" w:rsidRDefault="006D5C07" w:rsidP="00D32E59">
      <w:pPr>
        <w:spacing w:after="0" w:line="240" w:lineRule="auto"/>
        <w:jc w:val="both"/>
        <w:rPr>
          <w:rFonts w:ascii="Times New Roman" w:eastAsia="Times New Roman" w:hAnsi="Times New Roman" w:cs="Times New Roman"/>
          <w:sz w:val="24"/>
          <w:szCs w:val="24"/>
        </w:rPr>
      </w:pPr>
    </w:p>
    <w:p w14:paraId="5C4CECD6" w14:textId="0E26B4D9" w:rsidR="006D5C07" w:rsidRDefault="006D5C07" w:rsidP="00D32E59">
      <w:pPr>
        <w:spacing w:after="0" w:line="240" w:lineRule="auto"/>
        <w:jc w:val="both"/>
        <w:rPr>
          <w:rFonts w:ascii="Times New Roman" w:eastAsia="Times New Roman" w:hAnsi="Times New Roman" w:cs="Times New Roman"/>
          <w:sz w:val="24"/>
          <w:szCs w:val="24"/>
        </w:rPr>
      </w:pPr>
    </w:p>
    <w:p w14:paraId="7DF499E8" w14:textId="2BC15883" w:rsidR="006D5C07" w:rsidRDefault="006D5C07" w:rsidP="00D32E59">
      <w:pPr>
        <w:spacing w:after="0" w:line="240" w:lineRule="auto"/>
        <w:jc w:val="both"/>
        <w:rPr>
          <w:rFonts w:ascii="Times New Roman" w:eastAsia="Times New Roman" w:hAnsi="Times New Roman" w:cs="Times New Roman"/>
          <w:sz w:val="24"/>
          <w:szCs w:val="24"/>
        </w:rPr>
      </w:pPr>
    </w:p>
    <w:p w14:paraId="336D5D8D" w14:textId="05AABA66" w:rsidR="006D5C07" w:rsidRDefault="006D5C07" w:rsidP="00D32E59">
      <w:pPr>
        <w:spacing w:after="0" w:line="240" w:lineRule="auto"/>
        <w:jc w:val="both"/>
        <w:rPr>
          <w:rFonts w:ascii="Times New Roman" w:eastAsia="Times New Roman" w:hAnsi="Times New Roman" w:cs="Times New Roman"/>
          <w:sz w:val="24"/>
          <w:szCs w:val="24"/>
        </w:rPr>
      </w:pPr>
    </w:p>
    <w:p w14:paraId="01BD9C2C" w14:textId="621CF18A" w:rsidR="006D5C07" w:rsidRDefault="006D5C07" w:rsidP="00D32E59">
      <w:pPr>
        <w:spacing w:after="0" w:line="240" w:lineRule="auto"/>
        <w:jc w:val="both"/>
        <w:rPr>
          <w:rFonts w:ascii="Times New Roman" w:eastAsia="Times New Roman" w:hAnsi="Times New Roman" w:cs="Times New Roman"/>
          <w:sz w:val="24"/>
          <w:szCs w:val="24"/>
        </w:rPr>
      </w:pPr>
    </w:p>
    <w:p w14:paraId="0B6B25C3" w14:textId="2894602A" w:rsidR="006D5C07" w:rsidRDefault="006D5C07" w:rsidP="00D32E59">
      <w:pPr>
        <w:spacing w:after="0" w:line="240" w:lineRule="auto"/>
        <w:jc w:val="both"/>
        <w:rPr>
          <w:rFonts w:ascii="Times New Roman" w:eastAsia="Times New Roman" w:hAnsi="Times New Roman" w:cs="Times New Roman"/>
          <w:sz w:val="24"/>
          <w:szCs w:val="24"/>
        </w:rPr>
      </w:pPr>
    </w:p>
    <w:p w14:paraId="5F39F92F" w14:textId="4E195651" w:rsidR="006D5C07" w:rsidRDefault="006D5C07" w:rsidP="00D32E59">
      <w:pPr>
        <w:spacing w:after="0" w:line="240" w:lineRule="auto"/>
        <w:jc w:val="both"/>
        <w:rPr>
          <w:rFonts w:ascii="Times New Roman" w:eastAsia="Times New Roman" w:hAnsi="Times New Roman" w:cs="Times New Roman"/>
          <w:sz w:val="24"/>
          <w:szCs w:val="24"/>
        </w:rPr>
      </w:pPr>
    </w:p>
    <w:p w14:paraId="3D113DE3" w14:textId="59800CD9" w:rsidR="006D5C07" w:rsidRDefault="006D5C07" w:rsidP="00D32E59">
      <w:pPr>
        <w:spacing w:after="0" w:line="240" w:lineRule="auto"/>
        <w:jc w:val="both"/>
        <w:rPr>
          <w:rFonts w:ascii="Times New Roman" w:eastAsia="Times New Roman" w:hAnsi="Times New Roman" w:cs="Times New Roman"/>
          <w:sz w:val="24"/>
          <w:szCs w:val="24"/>
        </w:rPr>
      </w:pPr>
    </w:p>
    <w:p w14:paraId="2079C371" w14:textId="7A4B7B06" w:rsidR="006D5C07" w:rsidRDefault="006D5C07" w:rsidP="00D32E59">
      <w:pPr>
        <w:spacing w:after="0" w:line="240" w:lineRule="auto"/>
        <w:jc w:val="both"/>
        <w:rPr>
          <w:rFonts w:ascii="Times New Roman" w:eastAsia="Times New Roman" w:hAnsi="Times New Roman" w:cs="Times New Roman"/>
          <w:sz w:val="24"/>
          <w:szCs w:val="24"/>
        </w:rPr>
      </w:pPr>
    </w:p>
    <w:p w14:paraId="3CBB7F21" w14:textId="35A95038" w:rsidR="006D5C07" w:rsidRDefault="006D5C07" w:rsidP="00D32E59">
      <w:pPr>
        <w:spacing w:after="0" w:line="240" w:lineRule="auto"/>
        <w:jc w:val="both"/>
        <w:rPr>
          <w:rFonts w:ascii="Times New Roman" w:eastAsia="Times New Roman" w:hAnsi="Times New Roman" w:cs="Times New Roman"/>
          <w:sz w:val="24"/>
          <w:szCs w:val="24"/>
        </w:rPr>
      </w:pPr>
    </w:p>
    <w:p w14:paraId="3B773336" w14:textId="66F4614D" w:rsidR="00BB2FA6" w:rsidRDefault="00BB2FA6" w:rsidP="00D32E59">
      <w:pPr>
        <w:spacing w:after="0" w:line="240" w:lineRule="auto"/>
        <w:jc w:val="both"/>
        <w:rPr>
          <w:rFonts w:ascii="Times New Roman" w:eastAsia="Times New Roman" w:hAnsi="Times New Roman" w:cs="Times New Roman"/>
          <w:sz w:val="24"/>
          <w:szCs w:val="24"/>
        </w:rPr>
      </w:pPr>
    </w:p>
    <w:p w14:paraId="4845BA23" w14:textId="77777777" w:rsidR="00BB2FA6" w:rsidRPr="00191B72" w:rsidRDefault="00BB2FA6" w:rsidP="00D32E59">
      <w:pPr>
        <w:spacing w:after="0" w:line="240" w:lineRule="auto"/>
        <w:jc w:val="both"/>
        <w:rPr>
          <w:rFonts w:ascii="Times New Roman" w:eastAsia="Times New Roman" w:hAnsi="Times New Roman" w:cs="Times New Roman"/>
          <w:sz w:val="24"/>
          <w:szCs w:val="24"/>
        </w:rPr>
      </w:pPr>
    </w:p>
    <w:p w14:paraId="7165FFF0" w14:textId="77777777" w:rsidR="00191B72" w:rsidRDefault="00191B72" w:rsidP="00495FCF">
      <w:pPr>
        <w:pStyle w:val="Heading4"/>
        <w:ind w:firstLine="0"/>
        <w:rPr>
          <w:lang w:val="en-US"/>
        </w:rPr>
      </w:pPr>
    </w:p>
    <w:p w14:paraId="3712CC22" w14:textId="77777777" w:rsidR="00A51C04" w:rsidRDefault="00A51C04" w:rsidP="00BB2FA6">
      <w:pPr>
        <w:jc w:val="center"/>
        <w:rPr>
          <w:rStyle w:val="Strong"/>
          <w:rFonts w:ascii="Times New Roman" w:hAnsi="Times New Roman"/>
          <w:b w:val="0"/>
          <w:iCs/>
          <w:lang w:val="id-ID"/>
        </w:rPr>
      </w:pPr>
    </w:p>
    <w:p w14:paraId="516FD414" w14:textId="497F6357" w:rsidR="00D32E59" w:rsidRDefault="00BB2FA6" w:rsidP="00BB2FA6">
      <w:pPr>
        <w:jc w:val="center"/>
        <w:rPr>
          <w:rFonts w:ascii="Times New Roman" w:hAnsi="Times New Roman" w:cs="Times New Roman"/>
          <w:bCs/>
          <w:iCs/>
          <w:lang w:val="id-ID"/>
        </w:rPr>
      </w:pPr>
      <w:r w:rsidRPr="00BB2FA6">
        <w:rPr>
          <w:rStyle w:val="Strong"/>
          <w:rFonts w:ascii="Times New Roman" w:hAnsi="Times New Roman"/>
          <w:b w:val="0"/>
          <w:iCs/>
          <w:lang w:val="id-ID"/>
        </w:rPr>
        <w:t>Fig</w:t>
      </w:r>
      <w:r>
        <w:rPr>
          <w:rStyle w:val="Strong"/>
          <w:rFonts w:ascii="Times New Roman" w:hAnsi="Times New Roman"/>
          <w:b w:val="0"/>
          <w:iCs/>
        </w:rPr>
        <w:t>ure</w:t>
      </w:r>
      <w:r w:rsidRPr="00BB2FA6">
        <w:rPr>
          <w:rStyle w:val="Strong"/>
          <w:rFonts w:ascii="Times New Roman" w:hAnsi="Times New Roman"/>
          <w:b w:val="0"/>
          <w:iCs/>
          <w:lang w:val="id-ID"/>
        </w:rPr>
        <w:t xml:space="preserve"> 1:</w:t>
      </w:r>
      <w:r w:rsidRPr="00BB2FA6">
        <w:rPr>
          <w:rStyle w:val="Strong"/>
          <w:rFonts w:ascii="Times New Roman" w:hAnsi="Times New Roman"/>
          <w:iCs/>
          <w:lang w:val="id-ID"/>
        </w:rPr>
        <w:t xml:space="preserve"> </w:t>
      </w:r>
      <w:r w:rsidRPr="00BB2FA6">
        <w:rPr>
          <w:rFonts w:ascii="Times New Roman" w:hAnsi="Times New Roman" w:cs="Times New Roman"/>
          <w:bCs/>
          <w:iCs/>
          <w:lang w:val="id-ID"/>
        </w:rPr>
        <w:t>Theoretical Thinking Framework</w:t>
      </w:r>
    </w:p>
    <w:p w14:paraId="447AD5EA" w14:textId="77777777" w:rsidR="00A51C04" w:rsidRDefault="00A51C04" w:rsidP="00BB2FA6">
      <w:pPr>
        <w:jc w:val="center"/>
        <w:rPr>
          <w:rFonts w:ascii="Times New Roman" w:hAnsi="Times New Roman" w:cs="Times New Roman"/>
          <w:bCs/>
          <w:iCs/>
          <w:lang w:val="id-ID"/>
        </w:rPr>
      </w:pPr>
    </w:p>
    <w:p w14:paraId="133FD4A9" w14:textId="066982B0" w:rsidR="005417E8" w:rsidRPr="00E31239" w:rsidRDefault="005417E8" w:rsidP="005417E8">
      <w:pPr>
        <w:pStyle w:val="Heading1"/>
      </w:pPr>
      <w:r>
        <w:t>Research Methodology</w:t>
      </w:r>
    </w:p>
    <w:p w14:paraId="6096B853" w14:textId="7677CC3E" w:rsidR="007435C0" w:rsidRPr="007435C0" w:rsidRDefault="007435C0" w:rsidP="007435C0">
      <w:pPr>
        <w:spacing w:after="0"/>
        <w:ind w:firstLine="284"/>
        <w:jc w:val="both"/>
        <w:rPr>
          <w:rFonts w:ascii="Times New Roman" w:hAnsi="Times New Roman" w:cs="Times New Roman"/>
          <w:sz w:val="24"/>
          <w:szCs w:val="24"/>
          <w:lang w:val="id-ID"/>
        </w:rPr>
      </w:pPr>
      <w:r w:rsidRPr="007435C0">
        <w:rPr>
          <w:rFonts w:ascii="Times New Roman" w:hAnsi="Times New Roman" w:cs="Times New Roman"/>
          <w:sz w:val="24"/>
          <w:szCs w:val="24"/>
          <w:lang w:val="id-ID"/>
        </w:rPr>
        <w:t>This research uses a quantitative approach through a purposive sampling survey method with inclusion criteria for active users of the Tokopedia e-commerce platform for at least one year and exclusion criteria for active users over 18</w:t>
      </w:r>
      <w:r>
        <w:rPr>
          <w:rFonts w:ascii="Times New Roman" w:hAnsi="Times New Roman" w:cs="Times New Roman"/>
          <w:sz w:val="24"/>
          <w:szCs w:val="24"/>
        </w:rPr>
        <w:t xml:space="preserve"> years old</w:t>
      </w:r>
      <w:r w:rsidRPr="007435C0">
        <w:rPr>
          <w:rFonts w:ascii="Times New Roman" w:hAnsi="Times New Roman" w:cs="Times New Roman"/>
          <w:sz w:val="24"/>
          <w:szCs w:val="24"/>
          <w:lang w:val="id-ID"/>
        </w:rPr>
        <w:t>.</w:t>
      </w:r>
      <w:r>
        <w:rPr>
          <w:rFonts w:ascii="Times New Roman" w:hAnsi="Times New Roman" w:cs="Times New Roman"/>
          <w:sz w:val="24"/>
          <w:szCs w:val="24"/>
        </w:rPr>
        <w:t xml:space="preserve"> </w:t>
      </w:r>
      <w:r w:rsidRPr="007435C0">
        <w:rPr>
          <w:rFonts w:ascii="Times New Roman" w:hAnsi="Times New Roman" w:cs="Times New Roman"/>
          <w:sz w:val="24"/>
          <w:szCs w:val="24"/>
          <w:lang w:val="id-ID"/>
        </w:rPr>
        <w:t xml:space="preserve">The determination of this requirement aims to ensure that the selected respondents actively use the Tokopedia platform and are at least of sufficient age to use e-commerce wisely. The survey was distributed online using a </w:t>
      </w:r>
      <w:r>
        <w:rPr>
          <w:rFonts w:ascii="Times New Roman" w:hAnsi="Times New Roman" w:cs="Times New Roman"/>
          <w:sz w:val="24"/>
          <w:szCs w:val="24"/>
          <w:lang w:val="id-ID"/>
        </w:rPr>
        <w:t>G</w:t>
      </w:r>
      <w:r w:rsidRPr="007435C0">
        <w:rPr>
          <w:rFonts w:ascii="Times New Roman" w:hAnsi="Times New Roman" w:cs="Times New Roman"/>
          <w:sz w:val="24"/>
          <w:szCs w:val="24"/>
          <w:lang w:val="id-ID"/>
        </w:rPr>
        <w:t>oogle form platform through Whats</w:t>
      </w:r>
      <w:r>
        <w:rPr>
          <w:rFonts w:ascii="Times New Roman" w:hAnsi="Times New Roman" w:cs="Times New Roman"/>
          <w:sz w:val="24"/>
          <w:szCs w:val="24"/>
          <w:lang w:val="id-ID"/>
        </w:rPr>
        <w:t>A</w:t>
      </w:r>
      <w:r w:rsidRPr="007435C0">
        <w:rPr>
          <w:rFonts w:ascii="Times New Roman" w:hAnsi="Times New Roman" w:cs="Times New Roman"/>
          <w:sz w:val="24"/>
          <w:szCs w:val="24"/>
          <w:lang w:val="id-ID"/>
        </w:rPr>
        <w:t>pp, Indonesia</w:t>
      </w:r>
      <w:r w:rsidR="002E6C2A">
        <w:rPr>
          <w:rFonts w:ascii="Times New Roman" w:hAnsi="Times New Roman" w:cs="Times New Roman"/>
          <w:sz w:val="24"/>
          <w:szCs w:val="24"/>
          <w:lang w:val="id-ID"/>
        </w:rPr>
        <w:t>'</w:t>
      </w:r>
      <w:r w:rsidRPr="007435C0">
        <w:rPr>
          <w:rFonts w:ascii="Times New Roman" w:hAnsi="Times New Roman" w:cs="Times New Roman"/>
          <w:sz w:val="24"/>
          <w:szCs w:val="24"/>
          <w:lang w:val="id-ID"/>
        </w:rPr>
        <w:t>s most popular mobile messenger, with a sample of East Java province</w:t>
      </w:r>
      <w:r>
        <w:rPr>
          <w:rFonts w:ascii="Times New Roman" w:hAnsi="Times New Roman" w:cs="Times New Roman"/>
          <w:sz w:val="24"/>
          <w:szCs w:val="24"/>
          <w:lang w:val="id-ID"/>
        </w:rPr>
        <w:t>. D</w:t>
      </w:r>
      <w:r w:rsidRPr="007435C0">
        <w:rPr>
          <w:rFonts w:ascii="Times New Roman" w:hAnsi="Times New Roman" w:cs="Times New Roman"/>
          <w:sz w:val="24"/>
          <w:szCs w:val="24"/>
          <w:lang w:val="id-ID"/>
        </w:rPr>
        <w:t>uring April 2024</w:t>
      </w:r>
      <w:r>
        <w:rPr>
          <w:rFonts w:ascii="Times New Roman" w:hAnsi="Times New Roman" w:cs="Times New Roman"/>
          <w:sz w:val="24"/>
          <w:szCs w:val="24"/>
          <w:lang w:val="id-ID"/>
        </w:rPr>
        <w:t>,</w:t>
      </w:r>
      <w:r w:rsidRPr="007435C0">
        <w:rPr>
          <w:rFonts w:ascii="Times New Roman" w:hAnsi="Times New Roman" w:cs="Times New Roman"/>
          <w:sz w:val="24"/>
          <w:szCs w:val="24"/>
          <w:lang w:val="id-ID"/>
        </w:rPr>
        <w:t xml:space="preserve"> </w:t>
      </w:r>
      <w:r>
        <w:rPr>
          <w:rFonts w:ascii="Times New Roman" w:hAnsi="Times New Roman" w:cs="Times New Roman"/>
          <w:sz w:val="24"/>
          <w:szCs w:val="24"/>
        </w:rPr>
        <w:t xml:space="preserve">we received </w:t>
      </w:r>
      <w:r w:rsidRPr="007435C0">
        <w:rPr>
          <w:rFonts w:ascii="Times New Roman" w:hAnsi="Times New Roman" w:cs="Times New Roman"/>
          <w:sz w:val="24"/>
          <w:szCs w:val="24"/>
          <w:lang w:val="id-ID"/>
        </w:rPr>
        <w:t xml:space="preserve">257 respondents. </w:t>
      </w:r>
    </w:p>
    <w:p w14:paraId="112A3D32" w14:textId="695C1129" w:rsidR="007435C0" w:rsidRPr="007435C0" w:rsidRDefault="007435C0" w:rsidP="007435C0">
      <w:pPr>
        <w:spacing w:after="0"/>
        <w:ind w:firstLine="284"/>
        <w:jc w:val="both"/>
        <w:rPr>
          <w:rFonts w:ascii="Times New Roman" w:hAnsi="Times New Roman" w:cs="Times New Roman"/>
          <w:sz w:val="24"/>
          <w:szCs w:val="24"/>
          <w:lang w:val="id-ID"/>
        </w:rPr>
      </w:pPr>
      <w:r w:rsidRPr="007435C0">
        <w:rPr>
          <w:rFonts w:ascii="Times New Roman" w:hAnsi="Times New Roman" w:cs="Times New Roman"/>
          <w:sz w:val="24"/>
          <w:szCs w:val="24"/>
          <w:lang w:val="id-ID"/>
        </w:rPr>
        <w:t>We designed a closed-ended questionnaire organi</w:t>
      </w:r>
      <w:r w:rsidR="00BB2FA6">
        <w:rPr>
          <w:rFonts w:ascii="Times New Roman" w:hAnsi="Times New Roman" w:cs="Times New Roman"/>
          <w:sz w:val="24"/>
          <w:szCs w:val="24"/>
          <w:lang w:val="id-ID"/>
        </w:rPr>
        <w:t>s</w:t>
      </w:r>
      <w:r w:rsidRPr="007435C0">
        <w:rPr>
          <w:rFonts w:ascii="Times New Roman" w:hAnsi="Times New Roman" w:cs="Times New Roman"/>
          <w:sz w:val="24"/>
          <w:szCs w:val="24"/>
          <w:lang w:val="id-ID"/>
        </w:rPr>
        <w:t>ed into four sections: a brief survey introduction, a screening question, primary measurement questions, and demographic inquiries. This questionnaire format was deemed suitable for our research as it eliminated the need for extensive qualitative coding</w:t>
      </w:r>
      <w:r w:rsidR="00DF546E">
        <w:rPr>
          <w:rFonts w:ascii="Times New Roman" w:hAnsi="Times New Roman" w:cs="Times New Roman"/>
          <w:sz w:val="24"/>
          <w:szCs w:val="24"/>
        </w:rPr>
        <w:t xml:space="preserve"> </w:t>
      </w:r>
      <w:r w:rsidR="00DF546E">
        <w:rPr>
          <w:rFonts w:ascii="Times New Roman" w:hAnsi="Times New Roman" w:cs="Times New Roman"/>
          <w:sz w:val="24"/>
          <w:szCs w:val="24"/>
        </w:rPr>
        <w:fldChar w:fldCharType="begin" w:fldLock="1"/>
      </w:r>
      <w:r w:rsidR="00372CDC">
        <w:rPr>
          <w:rFonts w:ascii="Times New Roman" w:hAnsi="Times New Roman" w:cs="Times New Roman"/>
          <w:sz w:val="24"/>
          <w:szCs w:val="24"/>
        </w:rPr>
        <w:instrText>ADDIN CSL_CITATION {"citationItems":[{"id":"ITEM-1","itemData":{"DOI":"10.2139/ssrn.2489010","ISSN":"1556-5068","author":[{"dropping-particle":"","family":"Westland","given":"J. Christopher","non-dropping-particle":"","parse-names":false,"suffix":""}],"container-title":"SSRN Electronic Journal","id":"ITEM-1","issued":{"date-parts":[["2014"]]},"title":"Sample Calibration in Likert-Metric Survey Data","type":"article-journal"},"uris":["http://www.mendeley.com/documents/?uuid=83349d94-80dc-432f-b73f-5a7c957977c9"]}],"mendeley":{"formattedCitation":"(Westland, 2014)","plainTextFormattedCitation":"(Westland, 2014)","previouslyFormattedCitation":"(Westland, 2014)"},"properties":{"noteIndex":0},"schema":"https://github.com/citation-style-language/schema/raw/master/csl-citation.json"}</w:instrText>
      </w:r>
      <w:r w:rsidR="00DF546E">
        <w:rPr>
          <w:rFonts w:ascii="Times New Roman" w:hAnsi="Times New Roman" w:cs="Times New Roman"/>
          <w:sz w:val="24"/>
          <w:szCs w:val="24"/>
        </w:rPr>
        <w:fldChar w:fldCharType="separate"/>
      </w:r>
      <w:r w:rsidR="00372CDC" w:rsidRPr="00372CDC">
        <w:rPr>
          <w:rFonts w:ascii="Times New Roman" w:hAnsi="Times New Roman" w:cs="Times New Roman"/>
          <w:noProof/>
          <w:sz w:val="24"/>
          <w:szCs w:val="24"/>
        </w:rPr>
        <w:t>(Westland, 2014)</w:t>
      </w:r>
      <w:r w:rsidR="00DF546E">
        <w:rPr>
          <w:rFonts w:ascii="Times New Roman" w:hAnsi="Times New Roman" w:cs="Times New Roman"/>
          <w:sz w:val="24"/>
          <w:szCs w:val="24"/>
        </w:rPr>
        <w:fldChar w:fldCharType="end"/>
      </w:r>
      <w:r w:rsidRPr="007435C0">
        <w:rPr>
          <w:rFonts w:ascii="Times New Roman" w:hAnsi="Times New Roman" w:cs="Times New Roman"/>
          <w:sz w:val="24"/>
          <w:szCs w:val="24"/>
          <w:lang w:val="id-ID"/>
        </w:rPr>
        <w:t>. We implemented specific protocols within the questionnaire to mitigate potential common method bias (CMB) and non-response bias. To control for CMB, we ensured the questionnaire</w:t>
      </w:r>
      <w:r w:rsidR="002E6C2A">
        <w:rPr>
          <w:rFonts w:ascii="Times New Roman" w:hAnsi="Times New Roman" w:cs="Times New Roman"/>
          <w:sz w:val="24"/>
          <w:szCs w:val="24"/>
          <w:lang w:val="id-ID"/>
        </w:rPr>
        <w:t>'</w:t>
      </w:r>
      <w:r w:rsidRPr="007435C0">
        <w:rPr>
          <w:rFonts w:ascii="Times New Roman" w:hAnsi="Times New Roman" w:cs="Times New Roman"/>
          <w:sz w:val="24"/>
          <w:szCs w:val="24"/>
          <w:lang w:val="id-ID"/>
        </w:rPr>
        <w:t>s brevity, placed demographic questions at the end, allowed respondents to answer anonymously, used diverse scale types, and conducted a pilot test</w:t>
      </w:r>
      <w:r w:rsidR="00DF546E">
        <w:rPr>
          <w:rFonts w:ascii="Times New Roman" w:hAnsi="Times New Roman" w:cs="Times New Roman"/>
          <w:sz w:val="24"/>
          <w:szCs w:val="24"/>
        </w:rPr>
        <w:t xml:space="preserve"> </w:t>
      </w:r>
      <w:r w:rsidR="00DF546E">
        <w:rPr>
          <w:rFonts w:ascii="Times New Roman" w:hAnsi="Times New Roman" w:cs="Times New Roman"/>
          <w:sz w:val="24"/>
          <w:szCs w:val="24"/>
        </w:rPr>
        <w:fldChar w:fldCharType="begin" w:fldLock="1"/>
      </w:r>
      <w:r w:rsidR="00372CDC">
        <w:rPr>
          <w:rFonts w:ascii="Times New Roman" w:hAnsi="Times New Roman" w:cs="Times New Roman"/>
          <w:sz w:val="24"/>
          <w:szCs w:val="24"/>
        </w:rPr>
        <w:instrText>ADDIN CSL_CITATION {"citationItems":[{"id":"ITEM-1","itemData":{"DOI":"10.1037/0021-9010.88.5.879","ISSN":"1939-1854","author":[{"dropping-particle":"","family":"Podsakoff","given":"Philip M.","non-dropping-particle":"","parse-names":false,"suffix":""},{"dropping-particle":"","family":"MacKenzie","given":"Scott B.","non-dropping-particle":"","parse-names":false,"suffix":""},{"dropping-particle":"","family":"Lee","given":"Jeong-Yeon","non-dropping-particle":"","parse-names":false,"suffix":""},{"dropping-particle":"","family":"Podsakoff","given":"Nathan P.","non-dropping-particle":"","parse-names":false,"suffix":""}],"container-title":"Journal of Applied Psychology","id":"ITEM-1","issue":"5","issued":{"date-parts":[["2003"]]},"page":"879-903","title":"Common method biases in behavioral research: A critical review of the literature and recommended remedies.","type":"article-journal","volume":"88"},"uris":["http://www.mendeley.com/documents/?uuid=6a94d00b-06b4-499e-9d12-58b84bbaffcc"]},{"id":"ITEM-2","itemData":{"DOI":"10.1177/1534484310380331","ISSN":"1534-4843","abstract":"The need for more theory building scholarship remains one of the pressing issues in the field of HRD. Researchers can employ quantitative, qualitative, and/or mixed methods to support vital theory-building efforts, understanding however that each approach has its limitations. The purpose of this article is to explore common method variance bias as one of the possible major threats to the validity of quantitative research findings upon which significant theory building relies. Common method variance has been shown to introduce systematic bias into a study by artificially inflating or deflating correlations, thereby threatening the validity of conclusions drawn about the links between constructs. Both procedural design and statistical control solutions are provided to minimize its likelihood in studies with monomethod designs. Finally, editors and reviewers are called upon to support knowledge-building about how best to handle common method variance bias in quantitative studies.","author":[{"dropping-particle":"","family":"Reio","given":"Thomas G.","non-dropping-particle":"","parse-names":false,"suffix":""}],"container-title":"Human Resource Development Review","id":"ITEM-2","issue":"4","issued":{"date-parts":[["2010","12","24"]]},"page":"405-411","title":"The Threat of Common Method Variance Bias to Theory Building","type":"article-journal","volume":"9"},"uris":["http://www.mendeley.com/documents/?uuid=28a5b1a2-0c73-4fb3-9a97-f9ef27d92263"]}],"mendeley":{"formattedCitation":"(Podsakoff et al., 2003; Reio, 2010)","plainTextFormattedCitation":"(Podsakoff et al., 2003; Reio, 2010)","previouslyFormattedCitation":"(Podsakoff et al., 2003; Reio, 2010)"},"properties":{"noteIndex":0},"schema":"https://github.com/citation-style-language/schema/raw/master/csl-citation.json"}</w:instrText>
      </w:r>
      <w:r w:rsidR="00DF546E">
        <w:rPr>
          <w:rFonts w:ascii="Times New Roman" w:hAnsi="Times New Roman" w:cs="Times New Roman"/>
          <w:sz w:val="24"/>
          <w:szCs w:val="24"/>
        </w:rPr>
        <w:fldChar w:fldCharType="separate"/>
      </w:r>
      <w:r w:rsidR="00372CDC" w:rsidRPr="00372CDC">
        <w:rPr>
          <w:rFonts w:ascii="Times New Roman" w:hAnsi="Times New Roman" w:cs="Times New Roman"/>
          <w:noProof/>
          <w:sz w:val="24"/>
          <w:szCs w:val="24"/>
        </w:rPr>
        <w:t>(Podsakoff et al., 2003; Reio, 2010)</w:t>
      </w:r>
      <w:r w:rsidR="00DF546E">
        <w:rPr>
          <w:rFonts w:ascii="Times New Roman" w:hAnsi="Times New Roman" w:cs="Times New Roman"/>
          <w:sz w:val="24"/>
          <w:szCs w:val="24"/>
        </w:rPr>
        <w:fldChar w:fldCharType="end"/>
      </w:r>
      <w:r w:rsidRPr="007435C0">
        <w:rPr>
          <w:rFonts w:ascii="Times New Roman" w:hAnsi="Times New Roman" w:cs="Times New Roman"/>
          <w:sz w:val="24"/>
          <w:szCs w:val="24"/>
          <w:lang w:val="id-ID"/>
        </w:rPr>
        <w:t>. Additionally, to address non-response bias, we adhered to</w:t>
      </w:r>
      <w:r w:rsidR="00DF546E">
        <w:rPr>
          <w:rFonts w:ascii="Times New Roman" w:hAnsi="Times New Roman" w:cs="Times New Roman"/>
          <w:sz w:val="24"/>
          <w:szCs w:val="24"/>
        </w:rPr>
        <w:t xml:space="preserve"> </w:t>
      </w:r>
      <w:r w:rsidR="00DF546E">
        <w:rPr>
          <w:rFonts w:ascii="Times New Roman" w:hAnsi="Times New Roman" w:cs="Times New Roman"/>
          <w:sz w:val="24"/>
          <w:szCs w:val="24"/>
        </w:rPr>
        <w:fldChar w:fldCharType="begin" w:fldLock="1"/>
      </w:r>
      <w:r w:rsidR="00372CDC">
        <w:rPr>
          <w:rFonts w:ascii="Times New Roman" w:hAnsi="Times New Roman" w:cs="Times New Roman"/>
          <w:sz w:val="24"/>
          <w:szCs w:val="24"/>
        </w:rPr>
        <w:instrText>ADDIN CSL_CITATION {"citationItems":[{"id":"ITEM-1","itemData":{"DOI":"10.4324/9780203843123.ch3","author":[{"dropping-particle":"","family":"Lynn","given":"Peter","non-dropping-particle":"","parse-names":false,"suffix":""}],"container-title":"International Handbook of Survey Methodology","id":"ITEM-1","issued":{"date-parts":[["2008"]]},"publisher":"Routledge","title":"The Problem of Nonresponse","type":"chapter"},"uris":["http://www.mendeley.com/documents/?uuid=d1737db9-778d-487b-a9c3-9fe0ea867eda"]}],"mendeley":{"formattedCitation":"(Lynn, 2008)","manualFormatting":"Lynn recommendations (2008)","plainTextFormattedCitation":"(Lynn, 2008)","previouslyFormattedCitation":"(Lynn, 2008)"},"properties":{"noteIndex":0},"schema":"https://github.com/citation-style-language/schema/raw/master/csl-citation.json"}</w:instrText>
      </w:r>
      <w:r w:rsidR="00DF546E">
        <w:rPr>
          <w:rFonts w:ascii="Times New Roman" w:hAnsi="Times New Roman" w:cs="Times New Roman"/>
          <w:sz w:val="24"/>
          <w:szCs w:val="24"/>
        </w:rPr>
        <w:fldChar w:fldCharType="separate"/>
      </w:r>
      <w:r w:rsidR="00DF546E" w:rsidRPr="00DF546E">
        <w:rPr>
          <w:rFonts w:ascii="Times New Roman" w:hAnsi="Times New Roman" w:cs="Times New Roman"/>
          <w:noProof/>
          <w:sz w:val="24"/>
          <w:szCs w:val="24"/>
        </w:rPr>
        <w:t xml:space="preserve">Lynn </w:t>
      </w:r>
      <w:r w:rsidR="00DF546E">
        <w:rPr>
          <w:rFonts w:ascii="Times New Roman" w:hAnsi="Times New Roman" w:cs="Times New Roman"/>
          <w:noProof/>
          <w:sz w:val="24"/>
          <w:szCs w:val="24"/>
        </w:rPr>
        <w:t>recommendations (</w:t>
      </w:r>
      <w:r w:rsidR="00DF546E" w:rsidRPr="00DF546E">
        <w:rPr>
          <w:rFonts w:ascii="Times New Roman" w:hAnsi="Times New Roman" w:cs="Times New Roman"/>
          <w:noProof/>
          <w:sz w:val="24"/>
          <w:szCs w:val="24"/>
        </w:rPr>
        <w:t>2008)</w:t>
      </w:r>
      <w:r w:rsidR="00DF546E">
        <w:rPr>
          <w:rFonts w:ascii="Times New Roman" w:hAnsi="Times New Roman" w:cs="Times New Roman"/>
          <w:sz w:val="24"/>
          <w:szCs w:val="24"/>
        </w:rPr>
        <w:fldChar w:fldCharType="end"/>
      </w:r>
      <w:r w:rsidRPr="007435C0">
        <w:rPr>
          <w:rFonts w:ascii="Times New Roman" w:hAnsi="Times New Roman" w:cs="Times New Roman"/>
          <w:sz w:val="24"/>
          <w:szCs w:val="24"/>
          <w:lang w:val="id-ID"/>
        </w:rPr>
        <w:t>, including providing a brief survey introduction and constructing a respondent-friendly questionnaire with understandable and non-offensive questions, facilitating easy responses by participants.</w:t>
      </w:r>
    </w:p>
    <w:p w14:paraId="17C5BB4C" w14:textId="566D9303" w:rsidR="00E8690A" w:rsidRDefault="007435C0" w:rsidP="00234FFB">
      <w:pPr>
        <w:spacing w:after="0"/>
        <w:ind w:firstLine="284"/>
        <w:jc w:val="both"/>
        <w:rPr>
          <w:rFonts w:ascii="Times New Roman" w:hAnsi="Times New Roman" w:cs="Times New Roman"/>
          <w:sz w:val="24"/>
          <w:szCs w:val="24"/>
          <w:lang w:val="id-ID"/>
        </w:rPr>
      </w:pPr>
      <w:r w:rsidRPr="007435C0">
        <w:rPr>
          <w:rFonts w:ascii="Times New Roman" w:hAnsi="Times New Roman" w:cs="Times New Roman"/>
          <w:sz w:val="24"/>
          <w:szCs w:val="24"/>
          <w:lang w:val="id-ID"/>
        </w:rPr>
        <w:t xml:space="preserve">The analysis technique uses </w:t>
      </w:r>
      <w:r>
        <w:rPr>
          <w:rFonts w:ascii="Times New Roman" w:hAnsi="Times New Roman" w:cs="Times New Roman"/>
          <w:sz w:val="24"/>
          <w:szCs w:val="24"/>
          <w:lang w:val="id-ID"/>
        </w:rPr>
        <w:t xml:space="preserve">the </w:t>
      </w:r>
      <w:r w:rsidRPr="007435C0">
        <w:rPr>
          <w:rFonts w:ascii="Times New Roman" w:hAnsi="Times New Roman" w:cs="Times New Roman"/>
          <w:sz w:val="24"/>
          <w:szCs w:val="24"/>
          <w:lang w:val="id-ID"/>
        </w:rPr>
        <w:t>Structural Equation Model Partial Least Square (SEMPLS) with SMART PLS software version 4. The variables in this study consist of demographic variables used to determine the characteristics of respondents</w:t>
      </w:r>
      <w:r>
        <w:rPr>
          <w:rFonts w:ascii="Times New Roman" w:hAnsi="Times New Roman" w:cs="Times New Roman"/>
          <w:sz w:val="24"/>
          <w:szCs w:val="24"/>
          <w:lang w:val="id-ID"/>
        </w:rPr>
        <w:t>,</w:t>
      </w:r>
      <w:r w:rsidRPr="007435C0">
        <w:rPr>
          <w:rFonts w:ascii="Times New Roman" w:hAnsi="Times New Roman" w:cs="Times New Roman"/>
          <w:sz w:val="24"/>
          <w:szCs w:val="24"/>
          <w:lang w:val="id-ID"/>
        </w:rPr>
        <w:t xml:space="preserve"> including gender, age, education</w:t>
      </w:r>
      <w:r>
        <w:rPr>
          <w:rFonts w:ascii="Times New Roman" w:hAnsi="Times New Roman" w:cs="Times New Roman"/>
          <w:sz w:val="24"/>
          <w:szCs w:val="24"/>
          <w:lang w:val="id-ID"/>
        </w:rPr>
        <w:t>,</w:t>
      </w:r>
      <w:r w:rsidRPr="007435C0">
        <w:rPr>
          <w:rFonts w:ascii="Times New Roman" w:hAnsi="Times New Roman" w:cs="Times New Roman"/>
          <w:sz w:val="24"/>
          <w:szCs w:val="24"/>
          <w:lang w:val="id-ID"/>
        </w:rPr>
        <w:t xml:space="preserve"> and occupation. Exogenous latent variables include confirmatory expectations and privacy cynicism, endogenous latent variables consist of perceived usefulness, trust</w:t>
      </w:r>
      <w:r>
        <w:rPr>
          <w:rFonts w:ascii="Times New Roman" w:hAnsi="Times New Roman" w:cs="Times New Roman"/>
          <w:sz w:val="24"/>
          <w:szCs w:val="24"/>
          <w:lang w:val="id-ID"/>
        </w:rPr>
        <w:t>,</w:t>
      </w:r>
      <w:r w:rsidRPr="007435C0">
        <w:rPr>
          <w:rFonts w:ascii="Times New Roman" w:hAnsi="Times New Roman" w:cs="Times New Roman"/>
          <w:sz w:val="24"/>
          <w:szCs w:val="24"/>
          <w:lang w:val="id-ID"/>
        </w:rPr>
        <w:t xml:space="preserve"> and satisfaction, and the last is manifest variables used to describe and measure latent variables</w:t>
      </w:r>
      <w:r w:rsidR="007C7AA2" w:rsidRPr="007C7AA2">
        <w:rPr>
          <w:rFonts w:ascii="Times New Roman" w:hAnsi="Times New Roman" w:cs="Times New Roman"/>
          <w:sz w:val="24"/>
          <w:szCs w:val="24"/>
          <w:lang w:val="id-ID"/>
        </w:rPr>
        <w:t>.</w:t>
      </w:r>
    </w:p>
    <w:p w14:paraId="188E62D9" w14:textId="29539B04" w:rsidR="005417E8" w:rsidRPr="00234FFB" w:rsidRDefault="005417E8" w:rsidP="00495FCF">
      <w:pPr>
        <w:spacing w:after="0"/>
        <w:rPr>
          <w:rFonts w:ascii="Times New Roman" w:hAnsi="Times New Roman" w:cs="Times New Roman"/>
        </w:rPr>
      </w:pPr>
      <w:r w:rsidRPr="00234FFB">
        <w:rPr>
          <w:rFonts w:ascii="Times New Roman" w:hAnsi="Times New Roman" w:cs="Times New Roman"/>
        </w:rPr>
        <w:lastRenderedPageBreak/>
        <w:t>Table 1. Respondent</w:t>
      </w:r>
      <w:r w:rsidR="002E6C2A">
        <w:rPr>
          <w:rFonts w:ascii="Times New Roman" w:hAnsi="Times New Roman" w:cs="Times New Roman"/>
        </w:rPr>
        <w:t>'</w:t>
      </w:r>
      <w:r w:rsidRPr="00234FFB">
        <w:rPr>
          <w:rFonts w:ascii="Times New Roman" w:hAnsi="Times New Roman" w:cs="Times New Roman"/>
        </w:rPr>
        <w:t>s overview</w:t>
      </w:r>
    </w:p>
    <w:tbl>
      <w:tblPr>
        <w:tblW w:w="9036" w:type="dxa"/>
        <w:tblLook w:val="04A0" w:firstRow="1" w:lastRow="0" w:firstColumn="1" w:lastColumn="0" w:noHBand="0" w:noVBand="1"/>
      </w:tblPr>
      <w:tblGrid>
        <w:gridCol w:w="3969"/>
        <w:gridCol w:w="2503"/>
        <w:gridCol w:w="1325"/>
        <w:gridCol w:w="1239"/>
      </w:tblGrid>
      <w:tr w:rsidR="00DF546E" w:rsidRPr="005417E8" w14:paraId="7754621B" w14:textId="77777777" w:rsidTr="00BB2FA6">
        <w:trPr>
          <w:trHeight w:val="324"/>
        </w:trPr>
        <w:tc>
          <w:tcPr>
            <w:tcW w:w="3969" w:type="dxa"/>
            <w:tcBorders>
              <w:top w:val="single" w:sz="12" w:space="0" w:color="auto"/>
              <w:left w:val="nil"/>
              <w:bottom w:val="single" w:sz="12" w:space="0" w:color="auto"/>
              <w:right w:val="nil"/>
            </w:tcBorders>
            <w:shd w:val="clear" w:color="auto" w:fill="auto"/>
            <w:noWrap/>
            <w:vAlign w:val="bottom"/>
            <w:hideMark/>
          </w:tcPr>
          <w:p w14:paraId="64CB2224"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Demographic</w:t>
            </w:r>
          </w:p>
        </w:tc>
        <w:tc>
          <w:tcPr>
            <w:tcW w:w="2503" w:type="dxa"/>
            <w:tcBorders>
              <w:top w:val="single" w:sz="12" w:space="0" w:color="auto"/>
              <w:left w:val="nil"/>
              <w:bottom w:val="single" w:sz="12" w:space="0" w:color="auto"/>
              <w:right w:val="nil"/>
            </w:tcBorders>
            <w:shd w:val="clear" w:color="auto" w:fill="auto"/>
            <w:noWrap/>
            <w:vAlign w:val="bottom"/>
            <w:hideMark/>
          </w:tcPr>
          <w:p w14:paraId="5FE9B730"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Option</w:t>
            </w:r>
          </w:p>
        </w:tc>
        <w:tc>
          <w:tcPr>
            <w:tcW w:w="1325" w:type="dxa"/>
            <w:tcBorders>
              <w:top w:val="single" w:sz="12" w:space="0" w:color="auto"/>
              <w:left w:val="nil"/>
              <w:bottom w:val="single" w:sz="12" w:space="0" w:color="auto"/>
              <w:right w:val="nil"/>
            </w:tcBorders>
            <w:shd w:val="clear" w:color="auto" w:fill="auto"/>
            <w:noWrap/>
            <w:vAlign w:val="bottom"/>
            <w:hideMark/>
          </w:tcPr>
          <w:p w14:paraId="24258CCC" w14:textId="39377E06"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Frequency</w:t>
            </w:r>
          </w:p>
        </w:tc>
        <w:tc>
          <w:tcPr>
            <w:tcW w:w="1239" w:type="dxa"/>
            <w:tcBorders>
              <w:top w:val="single" w:sz="12" w:space="0" w:color="auto"/>
              <w:left w:val="nil"/>
              <w:bottom w:val="single" w:sz="12" w:space="0" w:color="auto"/>
              <w:right w:val="nil"/>
            </w:tcBorders>
            <w:shd w:val="clear" w:color="auto" w:fill="auto"/>
            <w:noWrap/>
            <w:vAlign w:val="bottom"/>
            <w:hideMark/>
          </w:tcPr>
          <w:p w14:paraId="4F973836"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Percentage</w:t>
            </w:r>
          </w:p>
        </w:tc>
      </w:tr>
      <w:tr w:rsidR="00DF546E" w:rsidRPr="005417E8" w14:paraId="5BDA98A2" w14:textId="77777777" w:rsidTr="00BB2FA6">
        <w:trPr>
          <w:trHeight w:val="324"/>
        </w:trPr>
        <w:tc>
          <w:tcPr>
            <w:tcW w:w="3969" w:type="dxa"/>
            <w:tcBorders>
              <w:top w:val="single" w:sz="12" w:space="0" w:color="auto"/>
              <w:left w:val="nil"/>
              <w:bottom w:val="nil"/>
              <w:right w:val="nil"/>
            </w:tcBorders>
            <w:shd w:val="clear" w:color="auto" w:fill="auto"/>
            <w:noWrap/>
            <w:vAlign w:val="bottom"/>
            <w:hideMark/>
          </w:tcPr>
          <w:p w14:paraId="7B4494A0"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Gender</w:t>
            </w:r>
          </w:p>
        </w:tc>
        <w:tc>
          <w:tcPr>
            <w:tcW w:w="2503" w:type="dxa"/>
            <w:tcBorders>
              <w:top w:val="single" w:sz="12" w:space="0" w:color="auto"/>
              <w:left w:val="nil"/>
              <w:bottom w:val="nil"/>
              <w:right w:val="nil"/>
            </w:tcBorders>
            <w:shd w:val="clear" w:color="auto" w:fill="auto"/>
            <w:noWrap/>
            <w:vAlign w:val="bottom"/>
            <w:hideMark/>
          </w:tcPr>
          <w:p w14:paraId="1106B0D8"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Male</w:t>
            </w:r>
          </w:p>
        </w:tc>
        <w:tc>
          <w:tcPr>
            <w:tcW w:w="1325" w:type="dxa"/>
            <w:tcBorders>
              <w:top w:val="single" w:sz="12" w:space="0" w:color="auto"/>
              <w:left w:val="nil"/>
              <w:bottom w:val="nil"/>
              <w:right w:val="nil"/>
            </w:tcBorders>
            <w:shd w:val="clear" w:color="auto" w:fill="auto"/>
            <w:noWrap/>
            <w:vAlign w:val="bottom"/>
            <w:hideMark/>
          </w:tcPr>
          <w:p w14:paraId="48BB058A"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152</w:t>
            </w:r>
          </w:p>
        </w:tc>
        <w:tc>
          <w:tcPr>
            <w:tcW w:w="1239" w:type="dxa"/>
            <w:tcBorders>
              <w:top w:val="single" w:sz="12" w:space="0" w:color="auto"/>
              <w:left w:val="nil"/>
              <w:bottom w:val="nil"/>
              <w:right w:val="nil"/>
            </w:tcBorders>
            <w:shd w:val="clear" w:color="auto" w:fill="auto"/>
            <w:noWrap/>
            <w:vAlign w:val="bottom"/>
            <w:hideMark/>
          </w:tcPr>
          <w:p w14:paraId="49D06C61"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59%</w:t>
            </w:r>
          </w:p>
        </w:tc>
      </w:tr>
      <w:tr w:rsidR="00463E7C" w:rsidRPr="005417E8" w14:paraId="4317DA75" w14:textId="77777777" w:rsidTr="00BB2FA6">
        <w:trPr>
          <w:trHeight w:val="324"/>
        </w:trPr>
        <w:tc>
          <w:tcPr>
            <w:tcW w:w="3969" w:type="dxa"/>
            <w:tcBorders>
              <w:top w:val="nil"/>
              <w:left w:val="nil"/>
              <w:bottom w:val="nil"/>
              <w:right w:val="nil"/>
            </w:tcBorders>
            <w:shd w:val="clear" w:color="auto" w:fill="auto"/>
            <w:noWrap/>
            <w:vAlign w:val="bottom"/>
            <w:hideMark/>
          </w:tcPr>
          <w:p w14:paraId="6C1E5F0F" w14:textId="77777777" w:rsidR="005417E8" w:rsidRPr="005417E8" w:rsidRDefault="005417E8" w:rsidP="005417E8">
            <w:pPr>
              <w:spacing w:after="0" w:line="240" w:lineRule="auto"/>
              <w:jc w:val="right"/>
              <w:rPr>
                <w:rFonts w:ascii="Times New Roman" w:eastAsia="Times New Roman" w:hAnsi="Times New Roman" w:cs="Times New Roman"/>
                <w:color w:val="000000"/>
              </w:rPr>
            </w:pPr>
          </w:p>
        </w:tc>
        <w:tc>
          <w:tcPr>
            <w:tcW w:w="2503" w:type="dxa"/>
            <w:tcBorders>
              <w:top w:val="nil"/>
              <w:left w:val="nil"/>
              <w:bottom w:val="nil"/>
              <w:right w:val="nil"/>
            </w:tcBorders>
            <w:shd w:val="clear" w:color="auto" w:fill="auto"/>
            <w:noWrap/>
            <w:vAlign w:val="bottom"/>
            <w:hideMark/>
          </w:tcPr>
          <w:p w14:paraId="6431A4FA"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Female</w:t>
            </w:r>
          </w:p>
        </w:tc>
        <w:tc>
          <w:tcPr>
            <w:tcW w:w="1325" w:type="dxa"/>
            <w:tcBorders>
              <w:top w:val="nil"/>
              <w:left w:val="nil"/>
              <w:bottom w:val="nil"/>
              <w:right w:val="nil"/>
            </w:tcBorders>
            <w:shd w:val="clear" w:color="auto" w:fill="auto"/>
            <w:noWrap/>
            <w:vAlign w:val="bottom"/>
            <w:hideMark/>
          </w:tcPr>
          <w:p w14:paraId="5F9305A0"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105</w:t>
            </w:r>
          </w:p>
        </w:tc>
        <w:tc>
          <w:tcPr>
            <w:tcW w:w="1239" w:type="dxa"/>
            <w:tcBorders>
              <w:top w:val="nil"/>
              <w:left w:val="nil"/>
              <w:bottom w:val="nil"/>
              <w:right w:val="nil"/>
            </w:tcBorders>
            <w:shd w:val="clear" w:color="auto" w:fill="auto"/>
            <w:noWrap/>
            <w:vAlign w:val="bottom"/>
            <w:hideMark/>
          </w:tcPr>
          <w:p w14:paraId="264BC02A"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41%</w:t>
            </w:r>
          </w:p>
        </w:tc>
      </w:tr>
      <w:tr w:rsidR="00463E7C" w:rsidRPr="005417E8" w14:paraId="6DFE4C82" w14:textId="77777777" w:rsidTr="00BB2FA6">
        <w:trPr>
          <w:trHeight w:val="324"/>
        </w:trPr>
        <w:tc>
          <w:tcPr>
            <w:tcW w:w="3969" w:type="dxa"/>
            <w:tcBorders>
              <w:top w:val="nil"/>
              <w:left w:val="nil"/>
              <w:bottom w:val="nil"/>
              <w:right w:val="nil"/>
            </w:tcBorders>
            <w:shd w:val="clear" w:color="auto" w:fill="auto"/>
            <w:noWrap/>
            <w:vAlign w:val="bottom"/>
            <w:hideMark/>
          </w:tcPr>
          <w:p w14:paraId="0524941F"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Age</w:t>
            </w:r>
          </w:p>
        </w:tc>
        <w:tc>
          <w:tcPr>
            <w:tcW w:w="2503" w:type="dxa"/>
            <w:tcBorders>
              <w:top w:val="nil"/>
              <w:left w:val="nil"/>
              <w:bottom w:val="nil"/>
              <w:right w:val="nil"/>
            </w:tcBorders>
            <w:shd w:val="clear" w:color="auto" w:fill="auto"/>
            <w:noWrap/>
            <w:vAlign w:val="bottom"/>
            <w:hideMark/>
          </w:tcPr>
          <w:p w14:paraId="67532607"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18-27 (Gen Z)</w:t>
            </w:r>
          </w:p>
        </w:tc>
        <w:tc>
          <w:tcPr>
            <w:tcW w:w="1325" w:type="dxa"/>
            <w:tcBorders>
              <w:top w:val="nil"/>
              <w:left w:val="nil"/>
              <w:bottom w:val="nil"/>
              <w:right w:val="nil"/>
            </w:tcBorders>
            <w:shd w:val="clear" w:color="auto" w:fill="auto"/>
            <w:noWrap/>
            <w:vAlign w:val="bottom"/>
            <w:hideMark/>
          </w:tcPr>
          <w:p w14:paraId="7BE6C04B"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122</w:t>
            </w:r>
          </w:p>
        </w:tc>
        <w:tc>
          <w:tcPr>
            <w:tcW w:w="1239" w:type="dxa"/>
            <w:tcBorders>
              <w:top w:val="nil"/>
              <w:left w:val="nil"/>
              <w:bottom w:val="nil"/>
              <w:right w:val="nil"/>
            </w:tcBorders>
            <w:shd w:val="clear" w:color="auto" w:fill="auto"/>
            <w:noWrap/>
            <w:vAlign w:val="bottom"/>
            <w:hideMark/>
          </w:tcPr>
          <w:p w14:paraId="5E6BF0B6"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47%</w:t>
            </w:r>
          </w:p>
        </w:tc>
      </w:tr>
      <w:tr w:rsidR="00463E7C" w:rsidRPr="005417E8" w14:paraId="7FA9E132" w14:textId="77777777" w:rsidTr="00BB2FA6">
        <w:trPr>
          <w:trHeight w:val="324"/>
        </w:trPr>
        <w:tc>
          <w:tcPr>
            <w:tcW w:w="3969" w:type="dxa"/>
            <w:tcBorders>
              <w:top w:val="nil"/>
              <w:left w:val="nil"/>
              <w:bottom w:val="nil"/>
              <w:right w:val="nil"/>
            </w:tcBorders>
            <w:shd w:val="clear" w:color="auto" w:fill="auto"/>
            <w:noWrap/>
            <w:vAlign w:val="bottom"/>
            <w:hideMark/>
          </w:tcPr>
          <w:p w14:paraId="4FCA01A0" w14:textId="77777777" w:rsidR="005417E8" w:rsidRPr="005417E8" w:rsidRDefault="005417E8" w:rsidP="005417E8">
            <w:pPr>
              <w:spacing w:after="0" w:line="240" w:lineRule="auto"/>
              <w:jc w:val="right"/>
              <w:rPr>
                <w:rFonts w:ascii="Times New Roman" w:eastAsia="Times New Roman" w:hAnsi="Times New Roman" w:cs="Times New Roman"/>
                <w:color w:val="000000"/>
              </w:rPr>
            </w:pPr>
          </w:p>
        </w:tc>
        <w:tc>
          <w:tcPr>
            <w:tcW w:w="2503" w:type="dxa"/>
            <w:tcBorders>
              <w:top w:val="nil"/>
              <w:left w:val="nil"/>
              <w:bottom w:val="nil"/>
              <w:right w:val="nil"/>
            </w:tcBorders>
            <w:shd w:val="clear" w:color="auto" w:fill="auto"/>
            <w:noWrap/>
            <w:vAlign w:val="bottom"/>
            <w:hideMark/>
          </w:tcPr>
          <w:p w14:paraId="13AD2E45"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28-43 (Gen Y)</w:t>
            </w:r>
          </w:p>
        </w:tc>
        <w:tc>
          <w:tcPr>
            <w:tcW w:w="1325" w:type="dxa"/>
            <w:tcBorders>
              <w:top w:val="nil"/>
              <w:left w:val="nil"/>
              <w:bottom w:val="nil"/>
              <w:right w:val="nil"/>
            </w:tcBorders>
            <w:shd w:val="clear" w:color="auto" w:fill="auto"/>
            <w:noWrap/>
            <w:vAlign w:val="bottom"/>
            <w:hideMark/>
          </w:tcPr>
          <w:p w14:paraId="75D4CA0E"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98</w:t>
            </w:r>
          </w:p>
        </w:tc>
        <w:tc>
          <w:tcPr>
            <w:tcW w:w="1239" w:type="dxa"/>
            <w:tcBorders>
              <w:top w:val="nil"/>
              <w:left w:val="nil"/>
              <w:bottom w:val="nil"/>
              <w:right w:val="nil"/>
            </w:tcBorders>
            <w:shd w:val="clear" w:color="auto" w:fill="auto"/>
            <w:noWrap/>
            <w:vAlign w:val="bottom"/>
            <w:hideMark/>
          </w:tcPr>
          <w:p w14:paraId="7F5875BD"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38%</w:t>
            </w:r>
          </w:p>
        </w:tc>
      </w:tr>
      <w:tr w:rsidR="00463E7C" w:rsidRPr="005417E8" w14:paraId="43691185" w14:textId="77777777" w:rsidTr="00BB2FA6">
        <w:trPr>
          <w:trHeight w:val="324"/>
        </w:trPr>
        <w:tc>
          <w:tcPr>
            <w:tcW w:w="3969" w:type="dxa"/>
            <w:tcBorders>
              <w:top w:val="nil"/>
              <w:left w:val="nil"/>
              <w:bottom w:val="nil"/>
              <w:right w:val="nil"/>
            </w:tcBorders>
            <w:shd w:val="clear" w:color="auto" w:fill="auto"/>
            <w:noWrap/>
            <w:vAlign w:val="bottom"/>
            <w:hideMark/>
          </w:tcPr>
          <w:p w14:paraId="33314003" w14:textId="77777777" w:rsidR="005417E8" w:rsidRPr="005417E8" w:rsidRDefault="005417E8" w:rsidP="005417E8">
            <w:pPr>
              <w:spacing w:after="0" w:line="240" w:lineRule="auto"/>
              <w:jc w:val="right"/>
              <w:rPr>
                <w:rFonts w:ascii="Times New Roman" w:eastAsia="Times New Roman" w:hAnsi="Times New Roman" w:cs="Times New Roman"/>
                <w:color w:val="000000"/>
              </w:rPr>
            </w:pPr>
          </w:p>
        </w:tc>
        <w:tc>
          <w:tcPr>
            <w:tcW w:w="2503" w:type="dxa"/>
            <w:tcBorders>
              <w:top w:val="nil"/>
              <w:left w:val="nil"/>
              <w:bottom w:val="nil"/>
              <w:right w:val="nil"/>
            </w:tcBorders>
            <w:shd w:val="clear" w:color="auto" w:fill="auto"/>
            <w:noWrap/>
            <w:vAlign w:val="bottom"/>
            <w:hideMark/>
          </w:tcPr>
          <w:p w14:paraId="03718EE2"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44-59 (Gen X)</w:t>
            </w:r>
          </w:p>
        </w:tc>
        <w:tc>
          <w:tcPr>
            <w:tcW w:w="1325" w:type="dxa"/>
            <w:tcBorders>
              <w:top w:val="nil"/>
              <w:left w:val="nil"/>
              <w:bottom w:val="nil"/>
              <w:right w:val="nil"/>
            </w:tcBorders>
            <w:shd w:val="clear" w:color="auto" w:fill="auto"/>
            <w:noWrap/>
            <w:vAlign w:val="bottom"/>
            <w:hideMark/>
          </w:tcPr>
          <w:p w14:paraId="368314C5"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24</w:t>
            </w:r>
          </w:p>
        </w:tc>
        <w:tc>
          <w:tcPr>
            <w:tcW w:w="1239" w:type="dxa"/>
            <w:tcBorders>
              <w:top w:val="nil"/>
              <w:left w:val="nil"/>
              <w:bottom w:val="nil"/>
              <w:right w:val="nil"/>
            </w:tcBorders>
            <w:shd w:val="clear" w:color="auto" w:fill="auto"/>
            <w:noWrap/>
            <w:vAlign w:val="bottom"/>
            <w:hideMark/>
          </w:tcPr>
          <w:p w14:paraId="5DC0AAE6"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9%</w:t>
            </w:r>
          </w:p>
        </w:tc>
      </w:tr>
      <w:tr w:rsidR="00463E7C" w:rsidRPr="005417E8" w14:paraId="318AA3DA" w14:textId="77777777" w:rsidTr="00BB2FA6">
        <w:trPr>
          <w:trHeight w:val="324"/>
        </w:trPr>
        <w:tc>
          <w:tcPr>
            <w:tcW w:w="3969" w:type="dxa"/>
            <w:tcBorders>
              <w:top w:val="nil"/>
              <w:left w:val="nil"/>
              <w:bottom w:val="nil"/>
              <w:right w:val="nil"/>
            </w:tcBorders>
            <w:shd w:val="clear" w:color="auto" w:fill="auto"/>
            <w:noWrap/>
            <w:vAlign w:val="bottom"/>
            <w:hideMark/>
          </w:tcPr>
          <w:p w14:paraId="30D1FE99" w14:textId="77777777" w:rsidR="005417E8" w:rsidRPr="005417E8" w:rsidRDefault="005417E8" w:rsidP="005417E8">
            <w:pPr>
              <w:spacing w:after="0" w:line="240" w:lineRule="auto"/>
              <w:jc w:val="right"/>
              <w:rPr>
                <w:rFonts w:ascii="Times New Roman" w:eastAsia="Times New Roman" w:hAnsi="Times New Roman" w:cs="Times New Roman"/>
                <w:color w:val="000000"/>
              </w:rPr>
            </w:pPr>
          </w:p>
        </w:tc>
        <w:tc>
          <w:tcPr>
            <w:tcW w:w="2503" w:type="dxa"/>
            <w:tcBorders>
              <w:top w:val="nil"/>
              <w:left w:val="nil"/>
              <w:bottom w:val="nil"/>
              <w:right w:val="nil"/>
            </w:tcBorders>
            <w:shd w:val="clear" w:color="auto" w:fill="auto"/>
            <w:noWrap/>
            <w:vAlign w:val="bottom"/>
            <w:hideMark/>
          </w:tcPr>
          <w:p w14:paraId="032100E9"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60-69 (Baby Boomers)</w:t>
            </w:r>
          </w:p>
        </w:tc>
        <w:tc>
          <w:tcPr>
            <w:tcW w:w="1325" w:type="dxa"/>
            <w:tcBorders>
              <w:top w:val="nil"/>
              <w:left w:val="nil"/>
              <w:bottom w:val="nil"/>
              <w:right w:val="nil"/>
            </w:tcBorders>
            <w:shd w:val="clear" w:color="auto" w:fill="auto"/>
            <w:noWrap/>
            <w:vAlign w:val="bottom"/>
            <w:hideMark/>
          </w:tcPr>
          <w:p w14:paraId="242CAF81"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13</w:t>
            </w:r>
          </w:p>
        </w:tc>
        <w:tc>
          <w:tcPr>
            <w:tcW w:w="1239" w:type="dxa"/>
            <w:tcBorders>
              <w:top w:val="nil"/>
              <w:left w:val="nil"/>
              <w:bottom w:val="nil"/>
              <w:right w:val="nil"/>
            </w:tcBorders>
            <w:shd w:val="clear" w:color="auto" w:fill="auto"/>
            <w:noWrap/>
            <w:vAlign w:val="bottom"/>
            <w:hideMark/>
          </w:tcPr>
          <w:p w14:paraId="6155BEEE"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5%</w:t>
            </w:r>
          </w:p>
        </w:tc>
      </w:tr>
      <w:tr w:rsidR="00463E7C" w:rsidRPr="005417E8" w14:paraId="75BBA962" w14:textId="77777777" w:rsidTr="00BB2FA6">
        <w:trPr>
          <w:trHeight w:val="324"/>
        </w:trPr>
        <w:tc>
          <w:tcPr>
            <w:tcW w:w="3969" w:type="dxa"/>
            <w:tcBorders>
              <w:top w:val="nil"/>
              <w:left w:val="nil"/>
              <w:bottom w:val="nil"/>
              <w:right w:val="nil"/>
            </w:tcBorders>
            <w:shd w:val="clear" w:color="auto" w:fill="auto"/>
            <w:noWrap/>
            <w:vAlign w:val="center"/>
            <w:hideMark/>
          </w:tcPr>
          <w:p w14:paraId="2EBCB18C"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Education</w:t>
            </w:r>
          </w:p>
        </w:tc>
        <w:tc>
          <w:tcPr>
            <w:tcW w:w="2503" w:type="dxa"/>
            <w:tcBorders>
              <w:top w:val="nil"/>
              <w:left w:val="nil"/>
              <w:bottom w:val="nil"/>
              <w:right w:val="nil"/>
            </w:tcBorders>
            <w:shd w:val="clear" w:color="auto" w:fill="auto"/>
            <w:noWrap/>
            <w:vAlign w:val="center"/>
            <w:hideMark/>
          </w:tcPr>
          <w:p w14:paraId="17F4090D"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High School or lower</w:t>
            </w:r>
          </w:p>
        </w:tc>
        <w:tc>
          <w:tcPr>
            <w:tcW w:w="1325" w:type="dxa"/>
            <w:tcBorders>
              <w:top w:val="nil"/>
              <w:left w:val="nil"/>
              <w:bottom w:val="nil"/>
              <w:right w:val="nil"/>
            </w:tcBorders>
            <w:shd w:val="clear" w:color="auto" w:fill="auto"/>
            <w:noWrap/>
            <w:vAlign w:val="center"/>
            <w:hideMark/>
          </w:tcPr>
          <w:p w14:paraId="080BEC40"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12</w:t>
            </w:r>
          </w:p>
        </w:tc>
        <w:tc>
          <w:tcPr>
            <w:tcW w:w="1239" w:type="dxa"/>
            <w:tcBorders>
              <w:top w:val="nil"/>
              <w:left w:val="nil"/>
              <w:bottom w:val="nil"/>
              <w:right w:val="nil"/>
            </w:tcBorders>
            <w:shd w:val="clear" w:color="auto" w:fill="auto"/>
            <w:noWrap/>
            <w:vAlign w:val="center"/>
            <w:hideMark/>
          </w:tcPr>
          <w:p w14:paraId="4C731363"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5%</w:t>
            </w:r>
          </w:p>
        </w:tc>
      </w:tr>
      <w:tr w:rsidR="00463E7C" w:rsidRPr="005417E8" w14:paraId="16734AEC" w14:textId="77777777" w:rsidTr="00BB2FA6">
        <w:trPr>
          <w:trHeight w:val="324"/>
        </w:trPr>
        <w:tc>
          <w:tcPr>
            <w:tcW w:w="3969" w:type="dxa"/>
            <w:tcBorders>
              <w:top w:val="nil"/>
              <w:left w:val="nil"/>
              <w:bottom w:val="nil"/>
              <w:right w:val="nil"/>
            </w:tcBorders>
            <w:shd w:val="clear" w:color="auto" w:fill="auto"/>
            <w:noWrap/>
            <w:vAlign w:val="bottom"/>
            <w:hideMark/>
          </w:tcPr>
          <w:p w14:paraId="3B5E0E70" w14:textId="77777777" w:rsidR="005417E8" w:rsidRPr="005417E8" w:rsidRDefault="005417E8" w:rsidP="005417E8">
            <w:pPr>
              <w:spacing w:after="0" w:line="240" w:lineRule="auto"/>
              <w:jc w:val="right"/>
              <w:rPr>
                <w:rFonts w:ascii="Times New Roman" w:eastAsia="Times New Roman" w:hAnsi="Times New Roman" w:cs="Times New Roman"/>
                <w:color w:val="000000"/>
              </w:rPr>
            </w:pPr>
          </w:p>
        </w:tc>
        <w:tc>
          <w:tcPr>
            <w:tcW w:w="2503" w:type="dxa"/>
            <w:tcBorders>
              <w:top w:val="nil"/>
              <w:left w:val="nil"/>
              <w:bottom w:val="nil"/>
              <w:right w:val="nil"/>
            </w:tcBorders>
            <w:shd w:val="clear" w:color="auto" w:fill="auto"/>
            <w:noWrap/>
            <w:vAlign w:val="center"/>
            <w:hideMark/>
          </w:tcPr>
          <w:p w14:paraId="225C9FA7"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Diploma</w:t>
            </w:r>
          </w:p>
        </w:tc>
        <w:tc>
          <w:tcPr>
            <w:tcW w:w="1325" w:type="dxa"/>
            <w:tcBorders>
              <w:top w:val="nil"/>
              <w:left w:val="nil"/>
              <w:bottom w:val="nil"/>
              <w:right w:val="nil"/>
            </w:tcBorders>
            <w:shd w:val="clear" w:color="auto" w:fill="auto"/>
            <w:noWrap/>
            <w:vAlign w:val="center"/>
            <w:hideMark/>
          </w:tcPr>
          <w:p w14:paraId="56658FA6"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37</w:t>
            </w:r>
          </w:p>
        </w:tc>
        <w:tc>
          <w:tcPr>
            <w:tcW w:w="1239" w:type="dxa"/>
            <w:tcBorders>
              <w:top w:val="nil"/>
              <w:left w:val="nil"/>
              <w:bottom w:val="nil"/>
              <w:right w:val="nil"/>
            </w:tcBorders>
            <w:shd w:val="clear" w:color="auto" w:fill="auto"/>
            <w:noWrap/>
            <w:vAlign w:val="center"/>
            <w:hideMark/>
          </w:tcPr>
          <w:p w14:paraId="1144C62C"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14%</w:t>
            </w:r>
          </w:p>
        </w:tc>
      </w:tr>
      <w:tr w:rsidR="00463E7C" w:rsidRPr="005417E8" w14:paraId="2D81B473" w14:textId="77777777" w:rsidTr="00BB2FA6">
        <w:trPr>
          <w:trHeight w:val="324"/>
        </w:trPr>
        <w:tc>
          <w:tcPr>
            <w:tcW w:w="3969" w:type="dxa"/>
            <w:tcBorders>
              <w:top w:val="nil"/>
              <w:left w:val="nil"/>
              <w:bottom w:val="nil"/>
              <w:right w:val="nil"/>
            </w:tcBorders>
            <w:shd w:val="clear" w:color="auto" w:fill="auto"/>
            <w:noWrap/>
            <w:vAlign w:val="bottom"/>
            <w:hideMark/>
          </w:tcPr>
          <w:p w14:paraId="600DF768" w14:textId="77777777" w:rsidR="005417E8" w:rsidRPr="005417E8" w:rsidRDefault="005417E8" w:rsidP="005417E8">
            <w:pPr>
              <w:spacing w:after="0" w:line="240" w:lineRule="auto"/>
              <w:jc w:val="right"/>
              <w:rPr>
                <w:rFonts w:ascii="Times New Roman" w:eastAsia="Times New Roman" w:hAnsi="Times New Roman" w:cs="Times New Roman"/>
                <w:color w:val="000000"/>
              </w:rPr>
            </w:pPr>
          </w:p>
        </w:tc>
        <w:tc>
          <w:tcPr>
            <w:tcW w:w="2503" w:type="dxa"/>
            <w:tcBorders>
              <w:top w:val="nil"/>
              <w:left w:val="nil"/>
              <w:bottom w:val="nil"/>
              <w:right w:val="nil"/>
            </w:tcBorders>
            <w:shd w:val="clear" w:color="auto" w:fill="auto"/>
            <w:noWrap/>
            <w:vAlign w:val="center"/>
            <w:hideMark/>
          </w:tcPr>
          <w:p w14:paraId="12D9290D"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Bachelor degree</w:t>
            </w:r>
          </w:p>
        </w:tc>
        <w:tc>
          <w:tcPr>
            <w:tcW w:w="1325" w:type="dxa"/>
            <w:tcBorders>
              <w:top w:val="nil"/>
              <w:left w:val="nil"/>
              <w:bottom w:val="nil"/>
              <w:right w:val="nil"/>
            </w:tcBorders>
            <w:shd w:val="clear" w:color="auto" w:fill="auto"/>
            <w:noWrap/>
            <w:vAlign w:val="center"/>
            <w:hideMark/>
          </w:tcPr>
          <w:p w14:paraId="30088A27"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167</w:t>
            </w:r>
          </w:p>
        </w:tc>
        <w:tc>
          <w:tcPr>
            <w:tcW w:w="1239" w:type="dxa"/>
            <w:tcBorders>
              <w:top w:val="nil"/>
              <w:left w:val="nil"/>
              <w:bottom w:val="nil"/>
              <w:right w:val="nil"/>
            </w:tcBorders>
            <w:shd w:val="clear" w:color="auto" w:fill="auto"/>
            <w:noWrap/>
            <w:vAlign w:val="center"/>
            <w:hideMark/>
          </w:tcPr>
          <w:p w14:paraId="52A8B702"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65%</w:t>
            </w:r>
          </w:p>
        </w:tc>
      </w:tr>
      <w:tr w:rsidR="00463E7C" w:rsidRPr="005417E8" w14:paraId="173CE0AB" w14:textId="77777777" w:rsidTr="00BB2FA6">
        <w:trPr>
          <w:trHeight w:val="324"/>
        </w:trPr>
        <w:tc>
          <w:tcPr>
            <w:tcW w:w="3969" w:type="dxa"/>
            <w:tcBorders>
              <w:top w:val="nil"/>
              <w:left w:val="nil"/>
              <w:bottom w:val="nil"/>
              <w:right w:val="nil"/>
            </w:tcBorders>
            <w:shd w:val="clear" w:color="auto" w:fill="auto"/>
            <w:noWrap/>
            <w:vAlign w:val="bottom"/>
            <w:hideMark/>
          </w:tcPr>
          <w:p w14:paraId="63F468C1" w14:textId="77777777" w:rsidR="005417E8" w:rsidRPr="005417E8" w:rsidRDefault="005417E8" w:rsidP="005417E8">
            <w:pPr>
              <w:spacing w:after="0" w:line="240" w:lineRule="auto"/>
              <w:jc w:val="right"/>
              <w:rPr>
                <w:rFonts w:ascii="Times New Roman" w:eastAsia="Times New Roman" w:hAnsi="Times New Roman" w:cs="Times New Roman"/>
                <w:color w:val="000000"/>
              </w:rPr>
            </w:pPr>
          </w:p>
        </w:tc>
        <w:tc>
          <w:tcPr>
            <w:tcW w:w="2503" w:type="dxa"/>
            <w:tcBorders>
              <w:top w:val="nil"/>
              <w:left w:val="nil"/>
              <w:bottom w:val="nil"/>
              <w:right w:val="nil"/>
            </w:tcBorders>
            <w:shd w:val="clear" w:color="auto" w:fill="auto"/>
            <w:noWrap/>
            <w:vAlign w:val="center"/>
            <w:hideMark/>
          </w:tcPr>
          <w:p w14:paraId="3263B12B" w14:textId="7FE6E3DD"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Postgraduate degree</w:t>
            </w:r>
          </w:p>
        </w:tc>
        <w:tc>
          <w:tcPr>
            <w:tcW w:w="1325" w:type="dxa"/>
            <w:tcBorders>
              <w:top w:val="nil"/>
              <w:left w:val="nil"/>
              <w:bottom w:val="nil"/>
              <w:right w:val="nil"/>
            </w:tcBorders>
            <w:shd w:val="clear" w:color="auto" w:fill="auto"/>
            <w:noWrap/>
            <w:vAlign w:val="center"/>
            <w:hideMark/>
          </w:tcPr>
          <w:p w14:paraId="35909E88"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41</w:t>
            </w:r>
          </w:p>
        </w:tc>
        <w:tc>
          <w:tcPr>
            <w:tcW w:w="1239" w:type="dxa"/>
            <w:tcBorders>
              <w:top w:val="nil"/>
              <w:left w:val="nil"/>
              <w:bottom w:val="nil"/>
              <w:right w:val="nil"/>
            </w:tcBorders>
            <w:shd w:val="clear" w:color="auto" w:fill="auto"/>
            <w:noWrap/>
            <w:vAlign w:val="center"/>
            <w:hideMark/>
          </w:tcPr>
          <w:p w14:paraId="081E8E11"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16%</w:t>
            </w:r>
          </w:p>
        </w:tc>
      </w:tr>
      <w:tr w:rsidR="00463E7C" w:rsidRPr="005417E8" w14:paraId="3ED1AFBA" w14:textId="77777777" w:rsidTr="00BB2FA6">
        <w:trPr>
          <w:trHeight w:val="324"/>
        </w:trPr>
        <w:tc>
          <w:tcPr>
            <w:tcW w:w="3969" w:type="dxa"/>
            <w:tcBorders>
              <w:top w:val="nil"/>
              <w:left w:val="nil"/>
              <w:bottom w:val="nil"/>
              <w:right w:val="nil"/>
            </w:tcBorders>
            <w:shd w:val="clear" w:color="auto" w:fill="auto"/>
            <w:noWrap/>
            <w:vAlign w:val="center"/>
            <w:hideMark/>
          </w:tcPr>
          <w:p w14:paraId="1583C655"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Occupation</w:t>
            </w:r>
          </w:p>
        </w:tc>
        <w:tc>
          <w:tcPr>
            <w:tcW w:w="2503" w:type="dxa"/>
            <w:tcBorders>
              <w:top w:val="nil"/>
              <w:left w:val="nil"/>
              <w:bottom w:val="nil"/>
              <w:right w:val="nil"/>
            </w:tcBorders>
            <w:shd w:val="clear" w:color="auto" w:fill="auto"/>
            <w:noWrap/>
            <w:vAlign w:val="center"/>
            <w:hideMark/>
          </w:tcPr>
          <w:p w14:paraId="7B5C65EB"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Student</w:t>
            </w:r>
          </w:p>
        </w:tc>
        <w:tc>
          <w:tcPr>
            <w:tcW w:w="1325" w:type="dxa"/>
            <w:tcBorders>
              <w:top w:val="nil"/>
              <w:left w:val="nil"/>
              <w:bottom w:val="nil"/>
              <w:right w:val="nil"/>
            </w:tcBorders>
            <w:shd w:val="clear" w:color="auto" w:fill="auto"/>
            <w:noWrap/>
            <w:vAlign w:val="center"/>
            <w:hideMark/>
          </w:tcPr>
          <w:p w14:paraId="22BEEDAC"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94</w:t>
            </w:r>
          </w:p>
        </w:tc>
        <w:tc>
          <w:tcPr>
            <w:tcW w:w="1239" w:type="dxa"/>
            <w:tcBorders>
              <w:top w:val="nil"/>
              <w:left w:val="nil"/>
              <w:bottom w:val="nil"/>
              <w:right w:val="nil"/>
            </w:tcBorders>
            <w:shd w:val="clear" w:color="auto" w:fill="auto"/>
            <w:noWrap/>
            <w:vAlign w:val="center"/>
            <w:hideMark/>
          </w:tcPr>
          <w:p w14:paraId="11B0985C"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37%</w:t>
            </w:r>
          </w:p>
        </w:tc>
      </w:tr>
      <w:tr w:rsidR="00463E7C" w:rsidRPr="005417E8" w14:paraId="5D1D4D63" w14:textId="77777777" w:rsidTr="00BB2FA6">
        <w:trPr>
          <w:trHeight w:val="324"/>
        </w:trPr>
        <w:tc>
          <w:tcPr>
            <w:tcW w:w="3969" w:type="dxa"/>
            <w:tcBorders>
              <w:top w:val="nil"/>
              <w:left w:val="nil"/>
              <w:bottom w:val="nil"/>
              <w:right w:val="nil"/>
            </w:tcBorders>
            <w:shd w:val="clear" w:color="auto" w:fill="auto"/>
            <w:noWrap/>
            <w:vAlign w:val="bottom"/>
            <w:hideMark/>
          </w:tcPr>
          <w:p w14:paraId="0D4F5627" w14:textId="77777777" w:rsidR="005417E8" w:rsidRPr="005417E8" w:rsidRDefault="005417E8" w:rsidP="005417E8">
            <w:pPr>
              <w:spacing w:after="0" w:line="240" w:lineRule="auto"/>
              <w:jc w:val="right"/>
              <w:rPr>
                <w:rFonts w:ascii="Times New Roman" w:eastAsia="Times New Roman" w:hAnsi="Times New Roman" w:cs="Times New Roman"/>
                <w:color w:val="000000"/>
              </w:rPr>
            </w:pPr>
          </w:p>
        </w:tc>
        <w:tc>
          <w:tcPr>
            <w:tcW w:w="2503" w:type="dxa"/>
            <w:tcBorders>
              <w:top w:val="nil"/>
              <w:left w:val="nil"/>
              <w:bottom w:val="nil"/>
              <w:right w:val="nil"/>
            </w:tcBorders>
            <w:shd w:val="clear" w:color="auto" w:fill="auto"/>
            <w:noWrap/>
            <w:vAlign w:val="center"/>
            <w:hideMark/>
          </w:tcPr>
          <w:p w14:paraId="37A8D901"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Civil Servant</w:t>
            </w:r>
          </w:p>
        </w:tc>
        <w:tc>
          <w:tcPr>
            <w:tcW w:w="1325" w:type="dxa"/>
            <w:tcBorders>
              <w:top w:val="nil"/>
              <w:left w:val="nil"/>
              <w:bottom w:val="nil"/>
              <w:right w:val="nil"/>
            </w:tcBorders>
            <w:shd w:val="clear" w:color="auto" w:fill="auto"/>
            <w:noWrap/>
            <w:vAlign w:val="center"/>
            <w:hideMark/>
          </w:tcPr>
          <w:p w14:paraId="6399D619"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43</w:t>
            </w:r>
          </w:p>
        </w:tc>
        <w:tc>
          <w:tcPr>
            <w:tcW w:w="1239" w:type="dxa"/>
            <w:tcBorders>
              <w:top w:val="nil"/>
              <w:left w:val="nil"/>
              <w:bottom w:val="nil"/>
              <w:right w:val="nil"/>
            </w:tcBorders>
            <w:shd w:val="clear" w:color="auto" w:fill="auto"/>
            <w:noWrap/>
            <w:vAlign w:val="center"/>
            <w:hideMark/>
          </w:tcPr>
          <w:p w14:paraId="1FB77C03"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17%</w:t>
            </w:r>
          </w:p>
        </w:tc>
      </w:tr>
      <w:tr w:rsidR="00463E7C" w:rsidRPr="005417E8" w14:paraId="7115D1BF" w14:textId="77777777" w:rsidTr="00BB2FA6">
        <w:trPr>
          <w:trHeight w:val="324"/>
        </w:trPr>
        <w:tc>
          <w:tcPr>
            <w:tcW w:w="3969" w:type="dxa"/>
            <w:tcBorders>
              <w:top w:val="nil"/>
              <w:left w:val="nil"/>
              <w:bottom w:val="nil"/>
              <w:right w:val="nil"/>
            </w:tcBorders>
            <w:shd w:val="clear" w:color="auto" w:fill="auto"/>
            <w:noWrap/>
            <w:vAlign w:val="bottom"/>
            <w:hideMark/>
          </w:tcPr>
          <w:p w14:paraId="482EC80C" w14:textId="77777777" w:rsidR="005417E8" w:rsidRPr="005417E8" w:rsidRDefault="005417E8" w:rsidP="005417E8">
            <w:pPr>
              <w:spacing w:after="0" w:line="240" w:lineRule="auto"/>
              <w:jc w:val="right"/>
              <w:rPr>
                <w:rFonts w:ascii="Times New Roman" w:eastAsia="Times New Roman" w:hAnsi="Times New Roman" w:cs="Times New Roman"/>
                <w:color w:val="000000"/>
              </w:rPr>
            </w:pPr>
          </w:p>
        </w:tc>
        <w:tc>
          <w:tcPr>
            <w:tcW w:w="2503" w:type="dxa"/>
            <w:tcBorders>
              <w:top w:val="nil"/>
              <w:left w:val="nil"/>
              <w:bottom w:val="nil"/>
              <w:right w:val="nil"/>
            </w:tcBorders>
            <w:shd w:val="clear" w:color="auto" w:fill="auto"/>
            <w:noWrap/>
            <w:vAlign w:val="center"/>
            <w:hideMark/>
          </w:tcPr>
          <w:p w14:paraId="45BD6294" w14:textId="57C09DF4"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Labo</w:t>
            </w:r>
            <w:r w:rsidR="00B52B78">
              <w:rPr>
                <w:rFonts w:ascii="Times New Roman" w:eastAsia="Times New Roman" w:hAnsi="Times New Roman" w:cs="Times New Roman"/>
                <w:color w:val="000000"/>
                <w:lang w:val="id-ID" w:eastAsia="ja-JP"/>
              </w:rPr>
              <w:t>u</w:t>
            </w:r>
            <w:r w:rsidRPr="005417E8">
              <w:rPr>
                <w:rFonts w:ascii="Times New Roman" w:eastAsia="Times New Roman" w:hAnsi="Times New Roman" w:cs="Times New Roman"/>
                <w:color w:val="000000"/>
                <w:lang w:val="id-ID" w:eastAsia="ja-JP"/>
              </w:rPr>
              <w:t>r</w:t>
            </w:r>
          </w:p>
        </w:tc>
        <w:tc>
          <w:tcPr>
            <w:tcW w:w="1325" w:type="dxa"/>
            <w:tcBorders>
              <w:top w:val="nil"/>
              <w:left w:val="nil"/>
              <w:bottom w:val="nil"/>
              <w:right w:val="nil"/>
            </w:tcBorders>
            <w:shd w:val="clear" w:color="auto" w:fill="auto"/>
            <w:noWrap/>
            <w:vAlign w:val="center"/>
            <w:hideMark/>
          </w:tcPr>
          <w:p w14:paraId="0D7BA907"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72</w:t>
            </w:r>
          </w:p>
        </w:tc>
        <w:tc>
          <w:tcPr>
            <w:tcW w:w="1239" w:type="dxa"/>
            <w:tcBorders>
              <w:top w:val="nil"/>
              <w:left w:val="nil"/>
              <w:bottom w:val="nil"/>
              <w:right w:val="nil"/>
            </w:tcBorders>
            <w:shd w:val="clear" w:color="auto" w:fill="auto"/>
            <w:noWrap/>
            <w:vAlign w:val="center"/>
            <w:hideMark/>
          </w:tcPr>
          <w:p w14:paraId="5C101C2D"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28%</w:t>
            </w:r>
          </w:p>
        </w:tc>
      </w:tr>
      <w:tr w:rsidR="00463E7C" w:rsidRPr="005417E8" w14:paraId="3518BD79" w14:textId="77777777" w:rsidTr="00BB2FA6">
        <w:trPr>
          <w:trHeight w:val="324"/>
        </w:trPr>
        <w:tc>
          <w:tcPr>
            <w:tcW w:w="3969" w:type="dxa"/>
            <w:tcBorders>
              <w:top w:val="nil"/>
              <w:left w:val="nil"/>
              <w:bottom w:val="nil"/>
              <w:right w:val="nil"/>
            </w:tcBorders>
            <w:shd w:val="clear" w:color="auto" w:fill="auto"/>
            <w:noWrap/>
            <w:vAlign w:val="bottom"/>
            <w:hideMark/>
          </w:tcPr>
          <w:p w14:paraId="6D1C7FB3" w14:textId="77777777" w:rsidR="005417E8" w:rsidRPr="005417E8" w:rsidRDefault="005417E8" w:rsidP="005417E8">
            <w:pPr>
              <w:spacing w:after="0" w:line="240" w:lineRule="auto"/>
              <w:jc w:val="right"/>
              <w:rPr>
                <w:rFonts w:ascii="Times New Roman" w:eastAsia="Times New Roman" w:hAnsi="Times New Roman" w:cs="Times New Roman"/>
                <w:color w:val="000000"/>
              </w:rPr>
            </w:pPr>
          </w:p>
        </w:tc>
        <w:tc>
          <w:tcPr>
            <w:tcW w:w="2503" w:type="dxa"/>
            <w:tcBorders>
              <w:top w:val="nil"/>
              <w:left w:val="nil"/>
              <w:bottom w:val="nil"/>
              <w:right w:val="nil"/>
            </w:tcBorders>
            <w:shd w:val="clear" w:color="auto" w:fill="auto"/>
            <w:noWrap/>
            <w:vAlign w:val="center"/>
            <w:hideMark/>
          </w:tcPr>
          <w:p w14:paraId="795BE4D8"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Professional</w:t>
            </w:r>
          </w:p>
        </w:tc>
        <w:tc>
          <w:tcPr>
            <w:tcW w:w="1325" w:type="dxa"/>
            <w:tcBorders>
              <w:top w:val="nil"/>
              <w:left w:val="nil"/>
              <w:bottom w:val="nil"/>
              <w:right w:val="nil"/>
            </w:tcBorders>
            <w:shd w:val="clear" w:color="auto" w:fill="auto"/>
            <w:noWrap/>
            <w:vAlign w:val="center"/>
            <w:hideMark/>
          </w:tcPr>
          <w:p w14:paraId="5567252F"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48</w:t>
            </w:r>
          </w:p>
        </w:tc>
        <w:tc>
          <w:tcPr>
            <w:tcW w:w="1239" w:type="dxa"/>
            <w:tcBorders>
              <w:top w:val="nil"/>
              <w:left w:val="nil"/>
              <w:bottom w:val="nil"/>
              <w:right w:val="nil"/>
            </w:tcBorders>
            <w:shd w:val="clear" w:color="auto" w:fill="auto"/>
            <w:noWrap/>
            <w:vAlign w:val="center"/>
            <w:hideMark/>
          </w:tcPr>
          <w:p w14:paraId="710A5982"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19%</w:t>
            </w:r>
          </w:p>
        </w:tc>
      </w:tr>
      <w:tr w:rsidR="00463E7C" w:rsidRPr="005417E8" w14:paraId="575B423F" w14:textId="77777777" w:rsidTr="00BB2FA6">
        <w:trPr>
          <w:trHeight w:val="324"/>
        </w:trPr>
        <w:tc>
          <w:tcPr>
            <w:tcW w:w="3969" w:type="dxa"/>
            <w:tcBorders>
              <w:top w:val="nil"/>
              <w:left w:val="nil"/>
              <w:bottom w:val="nil"/>
              <w:right w:val="nil"/>
            </w:tcBorders>
            <w:shd w:val="clear" w:color="auto" w:fill="auto"/>
            <w:noWrap/>
            <w:vAlign w:val="center"/>
            <w:hideMark/>
          </w:tcPr>
          <w:p w14:paraId="11299E81"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How long to used Tokopedia</w:t>
            </w:r>
          </w:p>
        </w:tc>
        <w:tc>
          <w:tcPr>
            <w:tcW w:w="2503" w:type="dxa"/>
            <w:tcBorders>
              <w:top w:val="nil"/>
              <w:left w:val="nil"/>
              <w:bottom w:val="nil"/>
              <w:right w:val="nil"/>
            </w:tcBorders>
            <w:shd w:val="clear" w:color="auto" w:fill="auto"/>
            <w:noWrap/>
            <w:vAlign w:val="center"/>
            <w:hideMark/>
          </w:tcPr>
          <w:p w14:paraId="04B282A6"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1-3 years</w:t>
            </w:r>
          </w:p>
        </w:tc>
        <w:tc>
          <w:tcPr>
            <w:tcW w:w="1325" w:type="dxa"/>
            <w:tcBorders>
              <w:top w:val="nil"/>
              <w:left w:val="nil"/>
              <w:bottom w:val="nil"/>
              <w:right w:val="nil"/>
            </w:tcBorders>
            <w:shd w:val="clear" w:color="auto" w:fill="auto"/>
            <w:noWrap/>
            <w:vAlign w:val="center"/>
            <w:hideMark/>
          </w:tcPr>
          <w:p w14:paraId="4F4ACE3B"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52</w:t>
            </w:r>
          </w:p>
        </w:tc>
        <w:tc>
          <w:tcPr>
            <w:tcW w:w="1239" w:type="dxa"/>
            <w:tcBorders>
              <w:top w:val="nil"/>
              <w:left w:val="nil"/>
              <w:bottom w:val="nil"/>
              <w:right w:val="nil"/>
            </w:tcBorders>
            <w:shd w:val="clear" w:color="auto" w:fill="auto"/>
            <w:noWrap/>
            <w:vAlign w:val="center"/>
            <w:hideMark/>
          </w:tcPr>
          <w:p w14:paraId="03D6828E"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20%</w:t>
            </w:r>
          </w:p>
        </w:tc>
      </w:tr>
      <w:tr w:rsidR="00463E7C" w:rsidRPr="005417E8" w14:paraId="1EF1D45A" w14:textId="77777777" w:rsidTr="00BB2FA6">
        <w:trPr>
          <w:trHeight w:val="324"/>
        </w:trPr>
        <w:tc>
          <w:tcPr>
            <w:tcW w:w="3969" w:type="dxa"/>
            <w:tcBorders>
              <w:top w:val="nil"/>
              <w:left w:val="nil"/>
              <w:bottom w:val="nil"/>
              <w:right w:val="nil"/>
            </w:tcBorders>
            <w:shd w:val="clear" w:color="auto" w:fill="auto"/>
            <w:noWrap/>
            <w:vAlign w:val="bottom"/>
            <w:hideMark/>
          </w:tcPr>
          <w:p w14:paraId="630961B9" w14:textId="77777777" w:rsidR="005417E8" w:rsidRPr="005417E8" w:rsidRDefault="005417E8" w:rsidP="005417E8">
            <w:pPr>
              <w:spacing w:after="0" w:line="240" w:lineRule="auto"/>
              <w:jc w:val="right"/>
              <w:rPr>
                <w:rFonts w:ascii="Times New Roman" w:eastAsia="Times New Roman" w:hAnsi="Times New Roman" w:cs="Times New Roman"/>
                <w:color w:val="000000"/>
              </w:rPr>
            </w:pPr>
          </w:p>
        </w:tc>
        <w:tc>
          <w:tcPr>
            <w:tcW w:w="2503" w:type="dxa"/>
            <w:tcBorders>
              <w:top w:val="nil"/>
              <w:left w:val="nil"/>
              <w:bottom w:val="nil"/>
              <w:right w:val="nil"/>
            </w:tcBorders>
            <w:shd w:val="clear" w:color="auto" w:fill="auto"/>
            <w:noWrap/>
            <w:vAlign w:val="center"/>
            <w:hideMark/>
          </w:tcPr>
          <w:p w14:paraId="79F6D331"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3-6 years</w:t>
            </w:r>
          </w:p>
        </w:tc>
        <w:tc>
          <w:tcPr>
            <w:tcW w:w="1325" w:type="dxa"/>
            <w:tcBorders>
              <w:top w:val="nil"/>
              <w:left w:val="nil"/>
              <w:bottom w:val="nil"/>
              <w:right w:val="nil"/>
            </w:tcBorders>
            <w:shd w:val="clear" w:color="auto" w:fill="auto"/>
            <w:noWrap/>
            <w:vAlign w:val="center"/>
            <w:hideMark/>
          </w:tcPr>
          <w:p w14:paraId="0D10E89A"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127</w:t>
            </w:r>
          </w:p>
        </w:tc>
        <w:tc>
          <w:tcPr>
            <w:tcW w:w="1239" w:type="dxa"/>
            <w:tcBorders>
              <w:top w:val="nil"/>
              <w:left w:val="nil"/>
              <w:bottom w:val="nil"/>
              <w:right w:val="nil"/>
            </w:tcBorders>
            <w:shd w:val="clear" w:color="auto" w:fill="auto"/>
            <w:noWrap/>
            <w:vAlign w:val="center"/>
            <w:hideMark/>
          </w:tcPr>
          <w:p w14:paraId="5CB821B4"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49%</w:t>
            </w:r>
          </w:p>
        </w:tc>
      </w:tr>
      <w:tr w:rsidR="00463E7C" w:rsidRPr="005417E8" w14:paraId="29376FA2" w14:textId="77777777" w:rsidTr="00BB2FA6">
        <w:trPr>
          <w:trHeight w:val="324"/>
        </w:trPr>
        <w:tc>
          <w:tcPr>
            <w:tcW w:w="3969" w:type="dxa"/>
            <w:tcBorders>
              <w:top w:val="nil"/>
              <w:left w:val="nil"/>
              <w:bottom w:val="nil"/>
              <w:right w:val="nil"/>
            </w:tcBorders>
            <w:shd w:val="clear" w:color="auto" w:fill="auto"/>
            <w:noWrap/>
            <w:vAlign w:val="bottom"/>
            <w:hideMark/>
          </w:tcPr>
          <w:p w14:paraId="3E6C51FE" w14:textId="77777777" w:rsidR="005417E8" w:rsidRPr="005417E8" w:rsidRDefault="005417E8" w:rsidP="005417E8">
            <w:pPr>
              <w:spacing w:after="0" w:line="240" w:lineRule="auto"/>
              <w:jc w:val="right"/>
              <w:rPr>
                <w:rFonts w:ascii="Times New Roman" w:eastAsia="Times New Roman" w:hAnsi="Times New Roman" w:cs="Times New Roman"/>
                <w:color w:val="000000"/>
              </w:rPr>
            </w:pPr>
          </w:p>
        </w:tc>
        <w:tc>
          <w:tcPr>
            <w:tcW w:w="2503" w:type="dxa"/>
            <w:tcBorders>
              <w:top w:val="nil"/>
              <w:left w:val="nil"/>
              <w:bottom w:val="nil"/>
              <w:right w:val="nil"/>
            </w:tcBorders>
            <w:shd w:val="clear" w:color="auto" w:fill="auto"/>
            <w:noWrap/>
            <w:vAlign w:val="center"/>
            <w:hideMark/>
          </w:tcPr>
          <w:p w14:paraId="5C925A2F" w14:textId="77777777" w:rsidR="005417E8" w:rsidRPr="005417E8" w:rsidRDefault="005417E8"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More than six years</w:t>
            </w:r>
          </w:p>
        </w:tc>
        <w:tc>
          <w:tcPr>
            <w:tcW w:w="1325" w:type="dxa"/>
            <w:tcBorders>
              <w:top w:val="nil"/>
              <w:left w:val="nil"/>
              <w:bottom w:val="nil"/>
              <w:right w:val="nil"/>
            </w:tcBorders>
            <w:shd w:val="clear" w:color="auto" w:fill="auto"/>
            <w:noWrap/>
            <w:vAlign w:val="center"/>
            <w:hideMark/>
          </w:tcPr>
          <w:p w14:paraId="759A9FE7"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78</w:t>
            </w:r>
          </w:p>
        </w:tc>
        <w:tc>
          <w:tcPr>
            <w:tcW w:w="1239" w:type="dxa"/>
            <w:tcBorders>
              <w:top w:val="nil"/>
              <w:left w:val="nil"/>
              <w:bottom w:val="nil"/>
              <w:right w:val="nil"/>
            </w:tcBorders>
            <w:shd w:val="clear" w:color="auto" w:fill="auto"/>
            <w:noWrap/>
            <w:vAlign w:val="center"/>
            <w:hideMark/>
          </w:tcPr>
          <w:p w14:paraId="47F55129" w14:textId="77777777" w:rsidR="005417E8" w:rsidRPr="005417E8" w:rsidRDefault="005417E8"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30%</w:t>
            </w:r>
          </w:p>
        </w:tc>
      </w:tr>
      <w:tr w:rsidR="00463E7C" w:rsidRPr="005417E8" w14:paraId="6356592F" w14:textId="77777777" w:rsidTr="00BB2FA6">
        <w:trPr>
          <w:trHeight w:val="324"/>
        </w:trPr>
        <w:tc>
          <w:tcPr>
            <w:tcW w:w="3969" w:type="dxa"/>
            <w:vMerge w:val="restart"/>
            <w:tcBorders>
              <w:top w:val="nil"/>
              <w:left w:val="nil"/>
              <w:right w:val="nil"/>
            </w:tcBorders>
            <w:shd w:val="clear" w:color="auto" w:fill="auto"/>
            <w:noWrap/>
            <w:vAlign w:val="center"/>
            <w:hideMark/>
          </w:tcPr>
          <w:p w14:paraId="00EF3D73" w14:textId="77777777" w:rsidR="00463E7C" w:rsidRPr="005417E8" w:rsidRDefault="00463E7C"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Did you read the policies of the platform</w:t>
            </w:r>
          </w:p>
          <w:p w14:paraId="4EC2563E" w14:textId="75150AB0" w:rsidR="00463E7C" w:rsidRPr="005417E8" w:rsidRDefault="00463E7C"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 </w:t>
            </w:r>
          </w:p>
        </w:tc>
        <w:tc>
          <w:tcPr>
            <w:tcW w:w="2503" w:type="dxa"/>
            <w:tcBorders>
              <w:top w:val="nil"/>
              <w:left w:val="nil"/>
              <w:right w:val="nil"/>
            </w:tcBorders>
            <w:shd w:val="clear" w:color="auto" w:fill="auto"/>
            <w:noWrap/>
            <w:vAlign w:val="center"/>
            <w:hideMark/>
          </w:tcPr>
          <w:p w14:paraId="107371CD" w14:textId="77777777" w:rsidR="00463E7C" w:rsidRPr="005417E8" w:rsidRDefault="00463E7C"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Yes</w:t>
            </w:r>
          </w:p>
        </w:tc>
        <w:tc>
          <w:tcPr>
            <w:tcW w:w="1325" w:type="dxa"/>
            <w:tcBorders>
              <w:top w:val="nil"/>
              <w:left w:val="nil"/>
              <w:right w:val="nil"/>
            </w:tcBorders>
            <w:shd w:val="clear" w:color="auto" w:fill="auto"/>
            <w:noWrap/>
            <w:vAlign w:val="center"/>
            <w:hideMark/>
          </w:tcPr>
          <w:p w14:paraId="37E180D1" w14:textId="77777777" w:rsidR="00463E7C" w:rsidRPr="005417E8" w:rsidRDefault="00463E7C"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27</w:t>
            </w:r>
          </w:p>
        </w:tc>
        <w:tc>
          <w:tcPr>
            <w:tcW w:w="1239" w:type="dxa"/>
            <w:tcBorders>
              <w:top w:val="nil"/>
              <w:left w:val="nil"/>
              <w:right w:val="nil"/>
            </w:tcBorders>
            <w:shd w:val="clear" w:color="auto" w:fill="auto"/>
            <w:noWrap/>
            <w:vAlign w:val="center"/>
            <w:hideMark/>
          </w:tcPr>
          <w:p w14:paraId="6117A65E" w14:textId="77777777" w:rsidR="00463E7C" w:rsidRPr="005417E8" w:rsidRDefault="00463E7C"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11%</w:t>
            </w:r>
          </w:p>
        </w:tc>
      </w:tr>
      <w:tr w:rsidR="00463E7C" w:rsidRPr="005417E8" w14:paraId="35227B90" w14:textId="77777777" w:rsidTr="00BB2FA6">
        <w:trPr>
          <w:trHeight w:val="360"/>
        </w:trPr>
        <w:tc>
          <w:tcPr>
            <w:tcW w:w="3969" w:type="dxa"/>
            <w:vMerge/>
            <w:tcBorders>
              <w:left w:val="nil"/>
              <w:bottom w:val="single" w:sz="12" w:space="0" w:color="auto"/>
              <w:right w:val="nil"/>
            </w:tcBorders>
            <w:shd w:val="clear" w:color="auto" w:fill="auto"/>
            <w:noWrap/>
            <w:vAlign w:val="center"/>
            <w:hideMark/>
          </w:tcPr>
          <w:p w14:paraId="02A855A4" w14:textId="5A155F20" w:rsidR="00463E7C" w:rsidRPr="005417E8" w:rsidRDefault="00463E7C" w:rsidP="005417E8">
            <w:pPr>
              <w:spacing w:after="0" w:line="240" w:lineRule="auto"/>
              <w:rPr>
                <w:rFonts w:ascii="Times New Roman" w:eastAsia="Times New Roman" w:hAnsi="Times New Roman" w:cs="Times New Roman"/>
                <w:color w:val="000000"/>
              </w:rPr>
            </w:pPr>
          </w:p>
        </w:tc>
        <w:tc>
          <w:tcPr>
            <w:tcW w:w="2503" w:type="dxa"/>
            <w:tcBorders>
              <w:top w:val="nil"/>
              <w:left w:val="nil"/>
              <w:bottom w:val="single" w:sz="12" w:space="0" w:color="auto"/>
              <w:right w:val="nil"/>
            </w:tcBorders>
            <w:shd w:val="clear" w:color="auto" w:fill="auto"/>
            <w:noWrap/>
            <w:vAlign w:val="center"/>
            <w:hideMark/>
          </w:tcPr>
          <w:p w14:paraId="0EEA27D5" w14:textId="77777777" w:rsidR="00463E7C" w:rsidRPr="005417E8" w:rsidRDefault="00463E7C" w:rsidP="005417E8">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No</w:t>
            </w:r>
          </w:p>
        </w:tc>
        <w:tc>
          <w:tcPr>
            <w:tcW w:w="1325" w:type="dxa"/>
            <w:tcBorders>
              <w:top w:val="nil"/>
              <w:left w:val="nil"/>
              <w:bottom w:val="single" w:sz="12" w:space="0" w:color="auto"/>
              <w:right w:val="nil"/>
            </w:tcBorders>
            <w:shd w:val="clear" w:color="auto" w:fill="auto"/>
            <w:noWrap/>
            <w:vAlign w:val="center"/>
            <w:hideMark/>
          </w:tcPr>
          <w:p w14:paraId="4806D326" w14:textId="77777777" w:rsidR="00463E7C" w:rsidRPr="005417E8" w:rsidRDefault="00463E7C"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lang w:val="id-ID" w:eastAsia="ja-JP"/>
              </w:rPr>
              <w:t>231</w:t>
            </w:r>
          </w:p>
        </w:tc>
        <w:tc>
          <w:tcPr>
            <w:tcW w:w="1239" w:type="dxa"/>
            <w:tcBorders>
              <w:top w:val="nil"/>
              <w:left w:val="nil"/>
              <w:bottom w:val="single" w:sz="12" w:space="0" w:color="auto"/>
              <w:right w:val="nil"/>
            </w:tcBorders>
            <w:shd w:val="clear" w:color="auto" w:fill="auto"/>
            <w:noWrap/>
            <w:vAlign w:val="center"/>
            <w:hideMark/>
          </w:tcPr>
          <w:p w14:paraId="48DF2F32" w14:textId="77777777" w:rsidR="00463E7C" w:rsidRPr="005417E8" w:rsidRDefault="00463E7C" w:rsidP="005417E8">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90%</w:t>
            </w:r>
          </w:p>
        </w:tc>
      </w:tr>
    </w:tbl>
    <w:p w14:paraId="348517AD" w14:textId="77777777" w:rsidR="005417E8" w:rsidRDefault="005417E8" w:rsidP="00E31239">
      <w:pPr>
        <w:rPr>
          <w:sz w:val="20"/>
          <w:szCs w:val="20"/>
          <w:lang w:val="id-ID"/>
        </w:rPr>
      </w:pPr>
    </w:p>
    <w:p w14:paraId="6275B7D1" w14:textId="77777777" w:rsidR="00937CB1" w:rsidRPr="00937CB1" w:rsidRDefault="00937CB1" w:rsidP="00BB2FA6">
      <w:pPr>
        <w:pStyle w:val="Heading2"/>
        <w:spacing w:after="0"/>
        <w:rPr>
          <w:lang w:val="id-ID"/>
        </w:rPr>
      </w:pPr>
      <w:r w:rsidRPr="00937CB1">
        <w:rPr>
          <w:lang w:val="id-ID"/>
        </w:rPr>
        <w:t>Descriptive Statistics</w:t>
      </w:r>
    </w:p>
    <w:p w14:paraId="3C3D2135" w14:textId="354046F0" w:rsidR="005417E8" w:rsidRPr="00937CB1" w:rsidRDefault="0009628F" w:rsidP="00937CB1">
      <w:pPr>
        <w:ind w:firstLine="284"/>
        <w:jc w:val="both"/>
        <w:rPr>
          <w:rFonts w:ascii="Times New Roman" w:hAnsi="Times New Roman" w:cs="Times New Roman"/>
          <w:sz w:val="24"/>
          <w:szCs w:val="24"/>
          <w:lang w:val="id-ID"/>
        </w:rPr>
      </w:pPr>
      <w:r>
        <w:rPr>
          <w:rFonts w:ascii="Times New Roman" w:hAnsi="Times New Roman" w:cs="Times New Roman"/>
          <w:sz w:val="24"/>
          <w:szCs w:val="24"/>
        </w:rPr>
        <w:t>Based on Table 1, m</w:t>
      </w:r>
      <w:r w:rsidR="00B152CE">
        <w:rPr>
          <w:rFonts w:ascii="Times New Roman" w:hAnsi="Times New Roman" w:cs="Times New Roman"/>
          <w:sz w:val="24"/>
          <w:szCs w:val="24"/>
          <w:lang w:val="id-ID"/>
        </w:rPr>
        <w:t>ost</w:t>
      </w:r>
      <w:r w:rsidR="00937CB1" w:rsidRPr="00937CB1">
        <w:rPr>
          <w:rFonts w:ascii="Times New Roman" w:hAnsi="Times New Roman" w:cs="Times New Roman"/>
          <w:sz w:val="24"/>
          <w:szCs w:val="24"/>
          <w:lang w:val="id-ID"/>
        </w:rPr>
        <w:t xml:space="preserve"> Tokopedia platform users are male</w:t>
      </w:r>
      <w:r>
        <w:rPr>
          <w:rFonts w:ascii="Times New Roman" w:hAnsi="Times New Roman" w:cs="Times New Roman"/>
          <w:sz w:val="24"/>
          <w:szCs w:val="24"/>
          <w:lang w:val="id-ID"/>
        </w:rPr>
        <w:t>,</w:t>
      </w:r>
      <w:r w:rsidR="00937CB1" w:rsidRPr="00937CB1">
        <w:rPr>
          <w:rFonts w:ascii="Times New Roman" w:hAnsi="Times New Roman" w:cs="Times New Roman"/>
          <w:sz w:val="24"/>
          <w:szCs w:val="24"/>
          <w:lang w:val="id-ID"/>
        </w:rPr>
        <w:t xml:space="preserve"> as many as 152 respondents (59%)</w:t>
      </w:r>
      <w:r w:rsidR="00B152CE">
        <w:rPr>
          <w:rFonts w:ascii="Times New Roman" w:hAnsi="Times New Roman" w:cs="Times New Roman"/>
          <w:sz w:val="24"/>
          <w:szCs w:val="24"/>
        </w:rPr>
        <w:t xml:space="preserve">; </w:t>
      </w:r>
      <w:r w:rsidR="00937CB1" w:rsidRPr="00937CB1">
        <w:rPr>
          <w:rFonts w:ascii="Times New Roman" w:hAnsi="Times New Roman" w:cs="Times New Roman"/>
          <w:sz w:val="24"/>
          <w:szCs w:val="24"/>
          <w:lang w:val="id-ID"/>
        </w:rPr>
        <w:t>this is in line with a survey conducted by Statista</w:t>
      </w:r>
      <w:r w:rsidR="00B152CE">
        <w:rPr>
          <w:rFonts w:ascii="Times New Roman" w:hAnsi="Times New Roman" w:cs="Times New Roman"/>
          <w:sz w:val="24"/>
          <w:szCs w:val="24"/>
          <w:lang w:val="id-ID"/>
        </w:rPr>
        <w:t>,</w:t>
      </w:r>
      <w:r w:rsidR="00937CB1" w:rsidRPr="00937CB1">
        <w:rPr>
          <w:rFonts w:ascii="Times New Roman" w:hAnsi="Times New Roman" w:cs="Times New Roman"/>
          <w:sz w:val="24"/>
          <w:szCs w:val="24"/>
          <w:lang w:val="id-ID"/>
        </w:rPr>
        <w:t xml:space="preserve"> which revealed that </w:t>
      </w:r>
      <w:r w:rsidR="00B152CE">
        <w:rPr>
          <w:rFonts w:ascii="Times New Roman" w:hAnsi="Times New Roman" w:cs="Times New Roman"/>
          <w:sz w:val="24"/>
          <w:szCs w:val="24"/>
          <w:lang w:val="id-ID"/>
        </w:rPr>
        <w:t>men dominate 58% of Tokopedia users</w:t>
      </w:r>
      <w:r w:rsidR="00937CB1" w:rsidRPr="00937CB1">
        <w:rPr>
          <w:rFonts w:ascii="Times New Roman" w:hAnsi="Times New Roman" w:cs="Times New Roman"/>
          <w:sz w:val="24"/>
          <w:szCs w:val="24"/>
          <w:lang w:val="id-ID"/>
        </w:rPr>
        <w:t>. The average age of Tokopedia users is 18-27 years old as many as 122 respondents (47%) followed by 28-43 years old</w:t>
      </w:r>
      <w:r w:rsidR="00B152CE">
        <w:rPr>
          <w:rFonts w:ascii="Times New Roman" w:hAnsi="Times New Roman" w:cs="Times New Roman"/>
          <w:sz w:val="24"/>
          <w:szCs w:val="24"/>
          <w:lang w:val="id-ID"/>
        </w:rPr>
        <w:t>,</w:t>
      </w:r>
      <w:r w:rsidR="00937CB1" w:rsidRPr="00937CB1">
        <w:rPr>
          <w:rFonts w:ascii="Times New Roman" w:hAnsi="Times New Roman" w:cs="Times New Roman"/>
          <w:sz w:val="24"/>
          <w:szCs w:val="24"/>
          <w:lang w:val="id-ID"/>
        </w:rPr>
        <w:t xml:space="preserve"> as many as 98 respondents (38%)</w:t>
      </w:r>
      <w:r w:rsidR="00B152CE">
        <w:rPr>
          <w:rFonts w:ascii="Times New Roman" w:hAnsi="Times New Roman" w:cs="Times New Roman"/>
          <w:sz w:val="24"/>
          <w:szCs w:val="24"/>
          <w:lang w:val="id-ID"/>
        </w:rPr>
        <w:t>;</w:t>
      </w:r>
      <w:r w:rsidR="00937CB1" w:rsidRPr="00937CB1">
        <w:rPr>
          <w:rFonts w:ascii="Times New Roman" w:hAnsi="Times New Roman" w:cs="Times New Roman"/>
          <w:sz w:val="24"/>
          <w:szCs w:val="24"/>
          <w:lang w:val="id-ID"/>
        </w:rPr>
        <w:t xml:space="preserve"> this is in line with a survey conducted by</w:t>
      </w:r>
      <w:r w:rsidR="00937CB1">
        <w:rPr>
          <w:rFonts w:ascii="Times New Roman" w:hAnsi="Times New Roman" w:cs="Times New Roman"/>
          <w:sz w:val="24"/>
          <w:szCs w:val="24"/>
        </w:rPr>
        <w:t xml:space="preserve"> </w:t>
      </w:r>
      <w:r w:rsidR="00937CB1">
        <w:rPr>
          <w:rFonts w:ascii="Times New Roman" w:hAnsi="Times New Roman" w:cs="Times New Roman"/>
          <w:sz w:val="24"/>
          <w:szCs w:val="24"/>
        </w:rPr>
        <w:fldChar w:fldCharType="begin" w:fldLock="1"/>
      </w:r>
      <w:r w:rsidR="00372CDC">
        <w:rPr>
          <w:rFonts w:ascii="Times New Roman" w:hAnsi="Times New Roman" w:cs="Times New Roman"/>
          <w:sz w:val="24"/>
          <w:szCs w:val="24"/>
        </w:rPr>
        <w:instrText>ADDIN CSL_CITATION {"citationItems":[{"id":"ITEM-1","itemData":{"abstract":"Responden Survei Nasional Penetrasi Pengguna Internet 2019-2020","author":[{"dropping-particle":"","family":"Asosiasi Penyelenggara Jasa Internet Indonesia","given":"","non-dropping-particle":"","parse-names":false,"suffix":""}],"container-title":"Asosiasi Penyelenggara Jasa Internet Indonesia","id":"ITEM-1","issued":{"date-parts":[["2020"]]},"page":"1-146","title":"Laporan Survei Internet APJII 2019 – 2020","type":"article-journal","volume":"2020"},"uris":["http://www.mendeley.com/documents/?uuid=d056dc29-06bd-4f55-8f81-1298e2d8726e"]}],"mendeley":{"formattedCitation":"(Asosiasi Penyelenggara Jasa Internet Indonesia, 2020)","plainTextFormattedCitation":"(Asosiasi Penyelenggara Jasa Internet Indonesia, 2020)","previouslyFormattedCitation":"(Asosiasi Penyelenggara Jasa Internet Indonesia, 2020)"},"properties":{"noteIndex":0},"schema":"https://github.com/citation-style-language/schema/raw/master/csl-citation.json"}</w:instrText>
      </w:r>
      <w:r w:rsidR="00937CB1">
        <w:rPr>
          <w:rFonts w:ascii="Times New Roman" w:hAnsi="Times New Roman" w:cs="Times New Roman"/>
          <w:sz w:val="24"/>
          <w:szCs w:val="24"/>
        </w:rPr>
        <w:fldChar w:fldCharType="separate"/>
      </w:r>
      <w:r w:rsidR="00372CDC" w:rsidRPr="00372CDC">
        <w:rPr>
          <w:rFonts w:ascii="Times New Roman" w:hAnsi="Times New Roman" w:cs="Times New Roman"/>
          <w:noProof/>
          <w:sz w:val="24"/>
          <w:szCs w:val="24"/>
        </w:rPr>
        <w:t>(Asosiasi Penyelenggara Jasa Internet Indonesia, 2020)</w:t>
      </w:r>
      <w:r w:rsidR="00937CB1">
        <w:rPr>
          <w:rFonts w:ascii="Times New Roman" w:hAnsi="Times New Roman" w:cs="Times New Roman"/>
          <w:sz w:val="24"/>
          <w:szCs w:val="24"/>
        </w:rPr>
        <w:fldChar w:fldCharType="end"/>
      </w:r>
      <w:r w:rsidR="00937CB1" w:rsidRPr="00937CB1">
        <w:rPr>
          <w:rFonts w:ascii="Times New Roman" w:hAnsi="Times New Roman" w:cs="Times New Roman"/>
          <w:sz w:val="24"/>
          <w:szCs w:val="24"/>
          <w:lang w:val="id-ID"/>
        </w:rPr>
        <w:t xml:space="preserve"> APJIXX which found that the penetration of internet users in Indonesia is dominated by 19-34 years old. The educational background of those who use Tokopedia at the undergraduate level is 167 respondents (65%) with a job as a student as many as 94 respondents (37%), where 127 respondents (49%) have used Tokopedia between 3-6 years</w:t>
      </w:r>
      <w:r w:rsidR="00B152CE">
        <w:rPr>
          <w:rFonts w:ascii="Times New Roman" w:hAnsi="Times New Roman" w:cs="Times New Roman"/>
          <w:sz w:val="24"/>
          <w:szCs w:val="24"/>
          <w:lang w:val="id-ID"/>
        </w:rPr>
        <w:t>,</w:t>
      </w:r>
      <w:r w:rsidR="00937CB1" w:rsidRPr="00937CB1">
        <w:rPr>
          <w:rFonts w:ascii="Times New Roman" w:hAnsi="Times New Roman" w:cs="Times New Roman"/>
          <w:sz w:val="24"/>
          <w:szCs w:val="24"/>
          <w:lang w:val="id-ID"/>
        </w:rPr>
        <w:t xml:space="preserve"> and there are 231 respondents (90%) who do not read the rules applied by the Tokopedia e-commerce platform.</w:t>
      </w:r>
    </w:p>
    <w:p w14:paraId="0ABC885B" w14:textId="7E43DB47" w:rsidR="00B65EA3" w:rsidRPr="00B65EA3" w:rsidRDefault="0009628F" w:rsidP="00BB2FA6">
      <w:pPr>
        <w:pStyle w:val="Heading2"/>
        <w:spacing w:after="0"/>
      </w:pPr>
      <w:r>
        <w:t>Model estimation procedure</w:t>
      </w:r>
    </w:p>
    <w:p w14:paraId="1F8D854E" w14:textId="4C5B989F" w:rsidR="005417E8" w:rsidRPr="0009628F" w:rsidRDefault="00B65EA3" w:rsidP="0009628F">
      <w:pPr>
        <w:ind w:firstLine="284"/>
        <w:jc w:val="both"/>
        <w:rPr>
          <w:rFonts w:ascii="Times New Roman" w:hAnsi="Times New Roman" w:cs="Times New Roman"/>
          <w:color w:val="000000" w:themeColor="text1"/>
          <w:sz w:val="20"/>
          <w:szCs w:val="20"/>
          <w:lang w:val="id-ID"/>
        </w:rPr>
      </w:pPr>
      <w:r w:rsidRPr="0009628F">
        <w:rPr>
          <w:rFonts w:ascii="Times New Roman" w:hAnsi="Times New Roman" w:cs="Times New Roman"/>
          <w:color w:val="000000" w:themeColor="text1"/>
          <w:sz w:val="24"/>
          <w:szCs w:val="24"/>
        </w:rPr>
        <w:t xml:space="preserve">The developed conceptual model was drawn in SmartPLS software or simulation work </w:t>
      </w:r>
      <w:r w:rsidR="0009628F" w:rsidRPr="0009628F">
        <w:rPr>
          <w:rFonts w:ascii="Times New Roman" w:hAnsi="Times New Roman" w:cs="Times New Roman"/>
          <w:color w:val="000000" w:themeColor="text1"/>
          <w:sz w:val="24"/>
          <w:szCs w:val="24"/>
        </w:rPr>
        <w:t>to assess the eﬀect of confirmatory expectations and privacy cynicism on satisfaction through perceived usefulness and trust.</w:t>
      </w:r>
      <w:r w:rsidRPr="0009628F">
        <w:rPr>
          <w:rFonts w:ascii="Times New Roman" w:hAnsi="Times New Roman" w:cs="Times New Roman"/>
          <w:color w:val="000000" w:themeColor="text1"/>
          <w:sz w:val="24"/>
          <w:szCs w:val="24"/>
        </w:rPr>
        <w:t xml:space="preserve"> </w:t>
      </w:r>
      <w:r w:rsidR="0009628F" w:rsidRPr="0009628F">
        <w:rPr>
          <w:rFonts w:ascii="Times New Roman" w:hAnsi="Times New Roman" w:cs="Times New Roman"/>
          <w:color w:val="000000" w:themeColor="text1"/>
          <w:sz w:val="24"/>
          <w:szCs w:val="24"/>
        </w:rPr>
        <w:t xml:space="preserve">Structural Equation Model - </w:t>
      </w:r>
      <w:r w:rsidRPr="0009628F">
        <w:rPr>
          <w:rFonts w:ascii="Times New Roman" w:hAnsi="Times New Roman" w:cs="Times New Roman"/>
          <w:color w:val="000000" w:themeColor="text1"/>
          <w:sz w:val="24"/>
          <w:szCs w:val="24"/>
        </w:rPr>
        <w:t xml:space="preserve">Partial </w:t>
      </w:r>
      <w:r w:rsidR="0009628F" w:rsidRPr="0009628F">
        <w:rPr>
          <w:rFonts w:ascii="Times New Roman" w:hAnsi="Times New Roman" w:cs="Times New Roman"/>
          <w:color w:val="000000" w:themeColor="text1"/>
          <w:sz w:val="24"/>
          <w:szCs w:val="24"/>
        </w:rPr>
        <w:t>L</w:t>
      </w:r>
      <w:r w:rsidRPr="0009628F">
        <w:rPr>
          <w:rFonts w:ascii="Times New Roman" w:hAnsi="Times New Roman" w:cs="Times New Roman"/>
          <w:color w:val="000000" w:themeColor="text1"/>
          <w:sz w:val="24"/>
          <w:szCs w:val="24"/>
        </w:rPr>
        <w:t xml:space="preserve">east </w:t>
      </w:r>
      <w:r w:rsidR="0009628F" w:rsidRPr="0009628F">
        <w:rPr>
          <w:rFonts w:ascii="Times New Roman" w:hAnsi="Times New Roman" w:cs="Times New Roman"/>
          <w:color w:val="000000" w:themeColor="text1"/>
          <w:sz w:val="24"/>
          <w:szCs w:val="24"/>
        </w:rPr>
        <w:t>S</w:t>
      </w:r>
      <w:r w:rsidRPr="0009628F">
        <w:rPr>
          <w:rFonts w:ascii="Times New Roman" w:hAnsi="Times New Roman" w:cs="Times New Roman"/>
          <w:color w:val="000000" w:themeColor="text1"/>
          <w:sz w:val="24"/>
          <w:szCs w:val="24"/>
        </w:rPr>
        <w:t xml:space="preserve">quare </w:t>
      </w:r>
      <w:r w:rsidR="0009628F" w:rsidRPr="0009628F">
        <w:rPr>
          <w:rFonts w:ascii="Times New Roman" w:hAnsi="Times New Roman" w:cs="Times New Roman"/>
          <w:color w:val="000000" w:themeColor="text1"/>
          <w:sz w:val="24"/>
          <w:szCs w:val="24"/>
        </w:rPr>
        <w:t xml:space="preserve">(SEM PLS) </w:t>
      </w:r>
      <w:r w:rsidRPr="0009628F">
        <w:rPr>
          <w:rFonts w:ascii="Times New Roman" w:hAnsi="Times New Roman" w:cs="Times New Roman"/>
          <w:color w:val="000000" w:themeColor="text1"/>
          <w:sz w:val="24"/>
          <w:szCs w:val="24"/>
        </w:rPr>
        <w:t>simulation of the model is carried out by calculating and assessing various parameters which include item loading, reliability, and validity tests</w:t>
      </w:r>
      <w:r w:rsidR="0009628F" w:rsidRPr="0009628F">
        <w:rPr>
          <w:rFonts w:ascii="Times New Roman" w:eastAsia="PMingLiU" w:hAnsi="Times New Roman" w:cs="Times New Roman"/>
          <w:color w:val="000000" w:themeColor="text1"/>
          <w:sz w:val="24"/>
          <w:szCs w:val="24"/>
        </w:rPr>
        <w:t xml:space="preserve">. This method was chosen as it is the most suitable approach for estimating mediation and conditional process models </w:t>
      </w:r>
      <w:r w:rsidR="0009628F" w:rsidRPr="0009628F">
        <w:rPr>
          <w:rFonts w:ascii="Times New Roman" w:eastAsia="PMingLiU" w:hAnsi="Times New Roman" w:cs="Times New Roman"/>
          <w:color w:val="000000" w:themeColor="text1"/>
          <w:sz w:val="24"/>
          <w:szCs w:val="24"/>
        </w:rPr>
        <w:fldChar w:fldCharType="begin" w:fldLock="1"/>
      </w:r>
      <w:r w:rsidR="00372CDC">
        <w:rPr>
          <w:rFonts w:ascii="Times New Roman" w:eastAsia="PMingLiU" w:hAnsi="Times New Roman" w:cs="Times New Roman"/>
          <w:color w:val="000000" w:themeColor="text1"/>
          <w:sz w:val="24"/>
          <w:szCs w:val="24"/>
        </w:rPr>
        <w:instrText>ADDIN CSL_CITATION {"citationItems":[{"id":"ITEM-1","itemData":{"DOI":"10.1177/1470785320915686","abstract":"Mediation and conditional process analyses have become popular approaches for examining the mechanisms by which effects operate and the factors that influence them. To estimate mediation models, researchers often augment their structural equation modeling (SEM) analyses with additional regression analyses using the PROCESS macro. This duality is surprising considering that research has long acknowledged the limitations of regression analyses when estimating models with latent variables. In this article, we argue that much of the confusion regarding SEM’s efficacy for mediation analyses results from a singular focus on factor-based methods, and there is no need for a tandem use of SEM and PROCESS. Specifically, we highlight that composite-based SEM methods overcome the limitations of both regression and factor-based SEM analyses when estimating even highly complex mediation models. We further conclude that composite-based SEM methods such as partial least squares (PLS-SEM) are the preferred and superior approach when estimating mediation and conditional process models, and that the PROCESS approach is not needed when mediation is examined with PLS-SEM.","author":[{"dropping-particle":"","family":"Sarstedt","given":"Marko","non-dropping-particle":"","parse-names":false,"suffix":""},{"dropping-particle":"","family":"Hair","given":"Joseph F","non-dropping-particle":"","parse-names":false,"suffix":""},{"dropping-particle":"","family":"Nitzl","given":"Christian","non-dropping-particle":"","parse-names":false,"suffix":""},{"dropping-particle":"","family":"Ringle","given":"Christian M","non-dropping-particle":"","parse-names":false,"suffix":""},{"dropping-particle":"","family":"Howard","given":"Matt C","non-dropping-particle":"","parse-names":false,"suffix":""}],"container-title":"International Journal of Market Research","id":"ITEM-1","issue":"3","issued":{"date-parts":[["2020"]]},"title":"Beyond a tandem analysis of SEM and PROCESS: Use of PLS-SEM for mediation analyses!","type":"article-journal","volume":"62"},"uris":["http://www.mendeley.com/documents/?uuid=700b9553-249e-4127-a34a-2b15b3f40a84"]}],"mendeley":{"formattedCitation":"(Sarstedt et al., 2020)","plainTextFormattedCitation":"(Sarstedt et al., 2020)","previouslyFormattedCitation":"(Sarstedt et al., 2020)"},"properties":{"noteIndex":0},"schema":"https://github.com/citation-style-language/schema/raw/master/csl-citation.json"}</w:instrText>
      </w:r>
      <w:r w:rsidR="0009628F" w:rsidRPr="0009628F">
        <w:rPr>
          <w:rFonts w:ascii="Times New Roman" w:eastAsia="PMingLiU" w:hAnsi="Times New Roman" w:cs="Times New Roman"/>
          <w:color w:val="000000" w:themeColor="text1"/>
          <w:sz w:val="24"/>
          <w:szCs w:val="24"/>
        </w:rPr>
        <w:fldChar w:fldCharType="separate"/>
      </w:r>
      <w:r w:rsidR="00372CDC" w:rsidRPr="00372CDC">
        <w:rPr>
          <w:rFonts w:ascii="Times New Roman" w:eastAsia="PMingLiU" w:hAnsi="Times New Roman" w:cs="Times New Roman"/>
          <w:noProof/>
          <w:color w:val="000000" w:themeColor="text1"/>
          <w:sz w:val="24"/>
          <w:szCs w:val="24"/>
        </w:rPr>
        <w:t>(Sarstedt et al., 2020)</w:t>
      </w:r>
      <w:r w:rsidR="0009628F" w:rsidRPr="0009628F">
        <w:rPr>
          <w:rFonts w:ascii="Times New Roman" w:eastAsia="PMingLiU" w:hAnsi="Times New Roman" w:cs="Times New Roman"/>
          <w:color w:val="000000" w:themeColor="text1"/>
          <w:sz w:val="24"/>
          <w:szCs w:val="24"/>
        </w:rPr>
        <w:fldChar w:fldCharType="end"/>
      </w:r>
      <w:r w:rsidR="0009628F" w:rsidRPr="0009628F">
        <w:rPr>
          <w:rFonts w:ascii="Times New Roman" w:eastAsia="PMingLiU" w:hAnsi="Times New Roman" w:cs="Times New Roman"/>
          <w:color w:val="000000" w:themeColor="text1"/>
          <w:sz w:val="24"/>
          <w:szCs w:val="24"/>
        </w:rPr>
        <w:t xml:space="preserve">. Additionally, PLS-SEM was highly appropriate for our dataset, given its non-normal distribution, as this statistical tool effectively handles non-normal data distributions </w:t>
      </w:r>
      <w:r w:rsidR="0009628F" w:rsidRPr="0009628F">
        <w:rPr>
          <w:rFonts w:ascii="Times New Roman" w:eastAsia="PMingLiU" w:hAnsi="Times New Roman" w:cs="Times New Roman"/>
          <w:color w:val="000000" w:themeColor="text1"/>
          <w:sz w:val="24"/>
          <w:szCs w:val="24"/>
        </w:rPr>
        <w:fldChar w:fldCharType="begin" w:fldLock="1"/>
      </w:r>
      <w:r w:rsidR="00372CDC">
        <w:rPr>
          <w:rFonts w:ascii="Times New Roman" w:eastAsia="PMingLiU" w:hAnsi="Times New Roman" w:cs="Times New Roman"/>
          <w:color w:val="000000" w:themeColor="text1"/>
          <w:sz w:val="24"/>
          <w:szCs w:val="24"/>
        </w:rPr>
        <w:instrText>ADDIN CSL_CITATION {"citationItems":[{"id":"ITEM-1","itemData":{"DOI":"10.1108/EBR-11-2018-0203","abstract":"Purpose: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Review","id":"ITEM-1","issue":"1","issued":{"date-parts":[["2019"]]},"title":"When to use and how to report the results of PLS-SEM","type":"article","volume":"31"},"uris":["http://www.mendeley.com/documents/?uuid=a36daca2-4fcf-44ab-ae61-6e245155f6ef"]}],"mendeley":{"formattedCitation":"(Hair et al., 2019)","plainTextFormattedCitation":"(Hair et al., 2019)","previouslyFormattedCitation":"(Hair et al., 2019)"},"properties":{"noteIndex":0},"schema":"https://github.com/citation-style-language/schema/raw/master/csl-citation.json"}</w:instrText>
      </w:r>
      <w:r w:rsidR="0009628F" w:rsidRPr="0009628F">
        <w:rPr>
          <w:rFonts w:ascii="Times New Roman" w:eastAsia="PMingLiU" w:hAnsi="Times New Roman" w:cs="Times New Roman"/>
          <w:color w:val="000000" w:themeColor="text1"/>
          <w:sz w:val="24"/>
          <w:szCs w:val="24"/>
        </w:rPr>
        <w:fldChar w:fldCharType="separate"/>
      </w:r>
      <w:r w:rsidR="00372CDC" w:rsidRPr="00372CDC">
        <w:rPr>
          <w:rFonts w:ascii="Times New Roman" w:eastAsia="PMingLiU" w:hAnsi="Times New Roman" w:cs="Times New Roman"/>
          <w:noProof/>
          <w:color w:val="000000" w:themeColor="text1"/>
          <w:sz w:val="24"/>
          <w:szCs w:val="24"/>
        </w:rPr>
        <w:t>(Hair et al., 2019)</w:t>
      </w:r>
      <w:r w:rsidR="0009628F" w:rsidRPr="0009628F">
        <w:rPr>
          <w:rFonts w:ascii="Times New Roman" w:eastAsia="PMingLiU" w:hAnsi="Times New Roman" w:cs="Times New Roman"/>
          <w:color w:val="000000" w:themeColor="text1"/>
          <w:sz w:val="24"/>
          <w:szCs w:val="24"/>
        </w:rPr>
        <w:fldChar w:fldCharType="end"/>
      </w:r>
      <w:r w:rsidR="0009628F" w:rsidRPr="0009628F">
        <w:rPr>
          <w:rFonts w:ascii="Times New Roman" w:eastAsia="PMingLiU" w:hAnsi="Times New Roman" w:cs="Times New Roman"/>
          <w:color w:val="000000" w:themeColor="text1"/>
          <w:sz w:val="24"/>
          <w:szCs w:val="24"/>
        </w:rPr>
        <w:t xml:space="preserve">.  </w:t>
      </w:r>
    </w:p>
    <w:p w14:paraId="31FEE1ED" w14:textId="77777777" w:rsidR="0009628F" w:rsidRPr="00E31239" w:rsidRDefault="0009628F" w:rsidP="0009628F">
      <w:pPr>
        <w:pStyle w:val="Heading1"/>
      </w:pPr>
      <w:r>
        <w:lastRenderedPageBreak/>
        <w:t>Results and Analysis</w:t>
      </w:r>
    </w:p>
    <w:p w14:paraId="5F695190" w14:textId="1CDA4D2A" w:rsidR="00B52B78" w:rsidRPr="00D60304" w:rsidRDefault="00D60304" w:rsidP="00BB2FA6">
      <w:pPr>
        <w:pStyle w:val="Heading2"/>
        <w:spacing w:after="0"/>
        <w:rPr>
          <w:rStyle w:val="Strong"/>
          <w:b/>
          <w:bCs/>
        </w:rPr>
      </w:pPr>
      <w:r w:rsidRPr="00D60304">
        <w:rPr>
          <w:rStyle w:val="Strong"/>
          <w:b/>
          <w:bCs/>
        </w:rPr>
        <w:t>Measurement model estimation</w:t>
      </w:r>
    </w:p>
    <w:p w14:paraId="4507332A" w14:textId="3A8BBDAF" w:rsidR="00D60304" w:rsidRDefault="00D60304" w:rsidP="00A0773D">
      <w:pPr>
        <w:spacing w:after="0" w:line="240" w:lineRule="auto"/>
        <w:ind w:firstLine="360"/>
        <w:jc w:val="both"/>
        <w:rPr>
          <w:rFonts w:ascii="Times New Roman" w:eastAsia="PMingLiU" w:hAnsi="Times New Roman" w:cs="Times New Roman"/>
          <w:sz w:val="24"/>
        </w:rPr>
      </w:pPr>
      <w:r w:rsidRPr="009250CA">
        <w:rPr>
          <w:rFonts w:ascii="Times New Roman" w:hAnsi="Times New Roman" w:cs="Times New Roman"/>
          <w:sz w:val="24"/>
          <w:szCs w:val="24"/>
        </w:rPr>
        <w:t xml:space="preserve">We evaluated </w:t>
      </w:r>
      <w:r>
        <w:rPr>
          <w:rFonts w:ascii="Times New Roman" w:hAnsi="Times New Roman" w:cs="Times New Roman"/>
          <w:sz w:val="24"/>
          <w:szCs w:val="24"/>
        </w:rPr>
        <w:t xml:space="preserve">the </w:t>
      </w:r>
      <w:r w:rsidRPr="009250CA">
        <w:rPr>
          <w:rFonts w:ascii="Times New Roman" w:hAnsi="Times New Roman" w:cs="Times New Roman"/>
          <w:sz w:val="24"/>
          <w:szCs w:val="24"/>
        </w:rPr>
        <w:t>measurement model</w:t>
      </w:r>
      <w:r>
        <w:rPr>
          <w:rFonts w:ascii="Times New Roman" w:hAnsi="Times New Roman" w:cs="Times New Roman"/>
          <w:sz w:val="24"/>
          <w:szCs w:val="24"/>
        </w:rPr>
        <w:t xml:space="preserve"> for this study</w:t>
      </w:r>
      <w:r w:rsidRPr="009250CA">
        <w:rPr>
          <w:rFonts w:ascii="Times New Roman" w:hAnsi="Times New Roman" w:cs="Times New Roman"/>
          <w:sz w:val="24"/>
          <w:szCs w:val="24"/>
        </w:rPr>
        <w:t xml:space="preserve"> </w:t>
      </w:r>
      <w:r>
        <w:rPr>
          <w:rFonts w:ascii="Times New Roman" w:hAnsi="Times New Roman" w:cs="Times New Roman"/>
          <w:sz w:val="24"/>
          <w:szCs w:val="24"/>
        </w:rPr>
        <w:t xml:space="preserve">following the </w:t>
      </w:r>
      <w:r w:rsidRPr="009250CA">
        <w:rPr>
          <w:rFonts w:ascii="Times New Roman" w:hAnsi="Times New Roman" w:cs="Times New Roman"/>
          <w:sz w:val="24"/>
          <w:szCs w:val="24"/>
        </w:rPr>
        <w:t>guidelines</w:t>
      </w:r>
      <w:r>
        <w:rPr>
          <w:rFonts w:ascii="Times New Roman" w:hAnsi="Times New Roman" w:cs="Times New Roman"/>
          <w:sz w:val="24"/>
          <w:szCs w:val="24"/>
        </w:rPr>
        <w:t xml:space="preserve"> proposed by</w:t>
      </w:r>
      <w:r w:rsidRPr="009250CA">
        <w:rPr>
          <w:rFonts w:ascii="Times New Roman" w:hAnsi="Times New Roman" w:cs="Times New Roman"/>
          <w:sz w:val="24"/>
          <w:szCs w:val="24"/>
        </w:rPr>
        <w:t xml:space="preserve"> </w:t>
      </w:r>
      <w:r w:rsidRPr="009250CA">
        <w:rPr>
          <w:rFonts w:ascii="Times New Roman" w:hAnsi="Times New Roman" w:cs="Times New Roman"/>
          <w:sz w:val="24"/>
          <w:szCs w:val="24"/>
        </w:rPr>
        <w:fldChar w:fldCharType="begin" w:fldLock="1"/>
      </w:r>
      <w:r w:rsidR="00372CDC">
        <w:rPr>
          <w:rFonts w:ascii="Times New Roman" w:hAnsi="Times New Roman" w:cs="Times New Roman"/>
          <w:sz w:val="24"/>
          <w:szCs w:val="24"/>
        </w:rPr>
        <w:instrText>ADDIN CSL_CITATION {"citationItems":[{"id":"ITEM-1","itemData":{"ISBN":"9783030805180","ISSN":"15317714","abstract":"Structural equation modeling (SEM) has become widespread in educational and psychological research. Its flexibility in addressing complex theoretical models and the proper treatment of measurement error has made it the model of choice for many researchers in the social sciences. Nevertheless, the model imposes some daunting assumptions and restrictions (e.g. normality and relatively large sample sizes) that could discourage practitioners from applying the model. Partial least squares SEM (PLS-SEM) is a nonparametric technique which makes no distributional assumptions and can be estimated with small sample sizes. In this paper a general introduction to PLS-SEM is given and is compared with conventional SEM. Next, step by step procedures, along with R functions, are presented to estimate the model. A data set is analyzed and the outputs are interpreted.","author":[{"dropping-particle":"","family":"Hair","given":"Joseph F.","non-dropping-particle":"","parse-names":false,"suffix":""},{"dropping-particle":"","family":"Hult","given":"G. Thomas M.","non-dropping-particle":"","parse-names":false,"suffix":""},{"dropping-particle":"","family":"Ringle","given":"Christian M.","non-dropping-particle":"","parse-names":false,"suffix":""},{"dropping-particle":"","family":"Sarstedt","given":"Marko","non-dropping-particle":"","parse-names":false,"suffix":""},{"dropping-particle":"","family":"Danks","given":"Nicholas P.","non-dropping-particle":"","parse-names":false,"suffix":""},{"dropping-particle":"","family":"Ray","given":"Soumya","non-dropping-particle":"","parse-names":false,"suffix":""}],"container-title":"Practical Assessment, Research and Evaluation","id":"ITEM-1","issue":"1","issued":{"date-parts":[["2021"]]},"number-of-pages":"1-197","title":"Partial Least Squares Structural Equation Modeling (PLS-SEM) Using R","type":"book","volume":"21"},"uris":["http://www.mendeley.com/documents/?uuid=d5bd2e79-1f03-423e-ba5c-a4d6a33cd6b8"]}],"mendeley":{"formattedCitation":"(Hair et al., 2021)","manualFormatting":"Hair Jr. et al. (2021)","plainTextFormattedCitation":"(Hair et al., 2021)","previouslyFormattedCitation":"(Hair et al., 2021)"},"properties":{"noteIndex":0},"schema":"https://github.com/citation-style-language/schema/raw/master/csl-citation.json"}</w:instrText>
      </w:r>
      <w:r w:rsidRPr="009250CA">
        <w:rPr>
          <w:rFonts w:ascii="Times New Roman" w:hAnsi="Times New Roman" w:cs="Times New Roman"/>
          <w:sz w:val="24"/>
          <w:szCs w:val="24"/>
        </w:rPr>
        <w:fldChar w:fldCharType="separate"/>
      </w:r>
      <w:r w:rsidRPr="009250CA">
        <w:rPr>
          <w:rFonts w:ascii="Times New Roman" w:hAnsi="Times New Roman" w:cs="Times New Roman"/>
          <w:noProof/>
          <w:sz w:val="24"/>
          <w:szCs w:val="24"/>
        </w:rPr>
        <w:t>Hair Jr. et al. (2021)</w:t>
      </w:r>
      <w:r w:rsidRPr="009250CA">
        <w:rPr>
          <w:rFonts w:ascii="Times New Roman" w:hAnsi="Times New Roman" w:cs="Times New Roman"/>
          <w:sz w:val="24"/>
          <w:szCs w:val="24"/>
        </w:rPr>
        <w:fldChar w:fldCharType="end"/>
      </w:r>
      <w:r w:rsidRPr="009250CA">
        <w:rPr>
          <w:rFonts w:ascii="Times New Roman" w:hAnsi="Times New Roman" w:cs="Times New Roman"/>
          <w:sz w:val="24"/>
          <w:szCs w:val="24"/>
        </w:rPr>
        <w:t xml:space="preserve">, </w:t>
      </w:r>
      <w:r>
        <w:rPr>
          <w:rFonts w:ascii="Times New Roman" w:hAnsi="Times New Roman" w:cs="Times New Roman"/>
          <w:sz w:val="24"/>
          <w:szCs w:val="24"/>
        </w:rPr>
        <w:t>which included reliability and validity assessments</w:t>
      </w:r>
      <w:r w:rsidRPr="009250CA">
        <w:rPr>
          <w:rFonts w:ascii="Times New Roman" w:hAnsi="Times New Roman" w:cs="Times New Roman"/>
          <w:sz w:val="24"/>
          <w:szCs w:val="24"/>
        </w:rPr>
        <w:t>.</w:t>
      </w:r>
      <w:r>
        <w:rPr>
          <w:rFonts w:ascii="Times New Roman" w:hAnsi="Times New Roman" w:cs="Times New Roman"/>
          <w:sz w:val="24"/>
          <w:szCs w:val="24"/>
        </w:rPr>
        <w:t xml:space="preserve"> As shown in Tables 2 and 3, both indicator reliability (indicator loading) met the minimum required threshold of 0.70, indicating a highly reliable measurement model. Regarding the validity assessment, each latent variable</w:t>
      </w:r>
      <w:r w:rsidR="002E6C2A">
        <w:rPr>
          <w:rFonts w:ascii="Times New Roman" w:hAnsi="Times New Roman" w:cs="Times New Roman"/>
          <w:sz w:val="24"/>
          <w:szCs w:val="24"/>
        </w:rPr>
        <w:t>'</w:t>
      </w:r>
      <w:r>
        <w:rPr>
          <w:rFonts w:ascii="Times New Roman" w:hAnsi="Times New Roman" w:cs="Times New Roman"/>
          <w:sz w:val="24"/>
          <w:szCs w:val="24"/>
        </w:rPr>
        <w:t xml:space="preserve">s convergent validity, represented by average variance extracted (AVE) scores, exceeded the minimum threshold of 0.50. Additionally, discriminant validity, assessed using the heterotrait-monotrait ratio (HTMT), revealed that </w:t>
      </w:r>
      <w:r w:rsidRPr="001539ED">
        <w:rPr>
          <w:rFonts w:ascii="Times New Roman" w:eastAsia="PMingLiU" w:hAnsi="Times New Roman" w:cs="Times New Roman"/>
          <w:sz w:val="24"/>
        </w:rPr>
        <w:t>all HTMT values were lower than the more liberal threshold of 0.90</w:t>
      </w:r>
      <w:r>
        <w:rPr>
          <w:rFonts w:ascii="Times New Roman" w:eastAsia="PMingLiU" w:hAnsi="Times New Roman" w:cs="Times New Roman"/>
          <w:sz w:val="24"/>
        </w:rPr>
        <w:t xml:space="preserve"> </w:t>
      </w:r>
      <w:r>
        <w:rPr>
          <w:rFonts w:ascii="Times New Roman" w:eastAsia="PMingLiU" w:hAnsi="Times New Roman" w:cs="Times New Roman"/>
          <w:sz w:val="24"/>
        </w:rPr>
        <w:fldChar w:fldCharType="begin" w:fldLock="1"/>
      </w:r>
      <w:r w:rsidR="00372CDC">
        <w:rPr>
          <w:rFonts w:ascii="Times New Roman" w:eastAsia="PMingLiU" w:hAnsi="Times New Roman" w:cs="Times New Roman"/>
          <w:sz w:val="24"/>
        </w:rPr>
        <w:instrText>ADDIN CSL_CITATION {"citationItems":[{"id":"ITEM-1","itemData":{"DOI":"10.1007/s11747-014-0403-8","ISBN":"1174701404","ISSN":"0092-0703","abstract":"Discriminant validity assessment has become a generally accepted prerequisite for analyzing relationships between latent variables. For variance-based structural equa- tion modeling, such as partial least squares, the Fornell- Larcker criterion and the examination of cross-loadings are the dominant approaches for evaluating discriminant validity. By means of a simulation study, we show that these ap- proaches do not reliably detect the lack of discriminant valid- ity in common research situations. We therefore propose an alternative approach, based on the multitrait-multimethod ma- trix, to assess discriminant validity: the heterotrait-monotrait ratio of correlations.We demonstrate its superior performance by means of a Monte Carlo simulation study, in which we compare the new approach to the Fornell-Larcker criterion and the assessment of (partial) cross-loadings. Finally, we provide guidelines on how to handle discriminant validity issues in variance-based structural equation modeling","author":[{"dropping-particle":"","family":"Henseler","given":"Jörg","non-dropping-particle":"","parse-names":false,"suffix":""},{"dropping-particle":"","family":"Ringle","given":"Christian M.","non-dropping-particle":"","parse-names":false,"suffix":""},{"dropping-particle":"","family":"Sarstedt","given":"Marko","non-dropping-particle":"","parse-names":false,"suffix":""}],"container-title":"Journal of the Academy of Marketing Science","id":"ITEM-1","issue":"1","issued":{"date-parts":[["2015","1"]]},"page":"115-135","title":"A new criterion for assessing discriminant validity in variance-based structural equation modeling","type":"article-journal","volume":"43"},"uris":["http://www.mendeley.com/documents/?uuid=361e4a52-acef-4bdf-bbbb-db128b53dea8","http://www.mendeley.com/documents/?uuid=b20df7f7-0c34-4988-b8ec-b6309292f2b0"]}],"mendeley":{"formattedCitation":"(Henseler et al., 2015)","plainTextFormattedCitation":"(Henseler et al., 2015)","previouslyFormattedCitation":"(Henseler et al., 2015)"},"properties":{"noteIndex":0},"schema":"https://github.com/citation-style-language/schema/raw/master/csl-citation.json"}</w:instrText>
      </w:r>
      <w:r>
        <w:rPr>
          <w:rFonts w:ascii="Times New Roman" w:eastAsia="PMingLiU" w:hAnsi="Times New Roman" w:cs="Times New Roman"/>
          <w:sz w:val="24"/>
        </w:rPr>
        <w:fldChar w:fldCharType="separate"/>
      </w:r>
      <w:r w:rsidR="00372CDC" w:rsidRPr="00372CDC">
        <w:rPr>
          <w:rFonts w:ascii="Times New Roman" w:eastAsia="PMingLiU" w:hAnsi="Times New Roman" w:cs="Times New Roman"/>
          <w:noProof/>
          <w:sz w:val="24"/>
        </w:rPr>
        <w:t>(Henseler et al., 2015)</w:t>
      </w:r>
      <w:r>
        <w:rPr>
          <w:rFonts w:ascii="Times New Roman" w:eastAsia="PMingLiU" w:hAnsi="Times New Roman" w:cs="Times New Roman"/>
          <w:sz w:val="24"/>
        </w:rPr>
        <w:fldChar w:fldCharType="end"/>
      </w:r>
      <w:r>
        <w:rPr>
          <w:rFonts w:ascii="Times New Roman" w:eastAsia="PMingLiU" w:hAnsi="Times New Roman" w:cs="Times New Roman"/>
          <w:sz w:val="24"/>
        </w:rPr>
        <w:t>, signifying a highly valid measurement model</w:t>
      </w:r>
      <w:r w:rsidRPr="001539ED">
        <w:rPr>
          <w:rFonts w:ascii="Times New Roman" w:eastAsia="PMingLiU" w:hAnsi="Times New Roman" w:cs="Times New Roman"/>
          <w:sz w:val="24"/>
        </w:rPr>
        <w:t>.</w:t>
      </w:r>
    </w:p>
    <w:p w14:paraId="69FAED70" w14:textId="77777777" w:rsidR="00A0773D" w:rsidRDefault="00A0773D" w:rsidP="00A0773D">
      <w:pPr>
        <w:spacing w:after="0" w:line="240" w:lineRule="auto"/>
        <w:ind w:firstLine="360"/>
        <w:jc w:val="both"/>
        <w:rPr>
          <w:rFonts w:ascii="Times New Roman" w:eastAsia="PMingLiU" w:hAnsi="Times New Roman" w:cs="Times New Roman"/>
          <w:sz w:val="24"/>
        </w:rPr>
      </w:pPr>
    </w:p>
    <w:p w14:paraId="6BE976B5" w14:textId="26B16852" w:rsidR="005417E8" w:rsidRPr="00234FFB" w:rsidRDefault="005417E8" w:rsidP="00BB2FA6">
      <w:pPr>
        <w:spacing w:after="0"/>
        <w:jc w:val="both"/>
        <w:rPr>
          <w:rFonts w:ascii="Times New Roman" w:hAnsi="Times New Roman" w:cs="Times New Roman"/>
        </w:rPr>
      </w:pPr>
      <w:r w:rsidRPr="00234FFB">
        <w:rPr>
          <w:rFonts w:ascii="Times New Roman" w:hAnsi="Times New Roman" w:cs="Times New Roman"/>
        </w:rPr>
        <w:t>Table 2. Reliability and validity test</w:t>
      </w:r>
    </w:p>
    <w:tbl>
      <w:tblPr>
        <w:tblW w:w="9137" w:type="dxa"/>
        <w:tblLook w:val="04A0" w:firstRow="1" w:lastRow="0" w:firstColumn="1" w:lastColumn="0" w:noHBand="0" w:noVBand="1"/>
      </w:tblPr>
      <w:tblGrid>
        <w:gridCol w:w="608"/>
        <w:gridCol w:w="5619"/>
        <w:gridCol w:w="878"/>
        <w:gridCol w:w="960"/>
        <w:gridCol w:w="1072"/>
      </w:tblGrid>
      <w:tr w:rsidR="00937CB1" w:rsidRPr="005417E8" w14:paraId="6E83683E" w14:textId="77777777" w:rsidTr="00937CB1">
        <w:trPr>
          <w:trHeight w:val="324"/>
        </w:trPr>
        <w:tc>
          <w:tcPr>
            <w:tcW w:w="6227" w:type="dxa"/>
            <w:gridSpan w:val="2"/>
            <w:tcBorders>
              <w:top w:val="single" w:sz="12" w:space="0" w:color="auto"/>
              <w:left w:val="single" w:sz="8" w:space="0" w:color="FFFFFF"/>
              <w:bottom w:val="single" w:sz="12" w:space="0" w:color="auto"/>
              <w:right w:val="nil"/>
            </w:tcBorders>
            <w:shd w:val="clear" w:color="auto" w:fill="auto"/>
            <w:vAlign w:val="center"/>
            <w:hideMark/>
          </w:tcPr>
          <w:p w14:paraId="2CD65F1B" w14:textId="77777777" w:rsidR="005417E8" w:rsidRPr="005417E8" w:rsidRDefault="005417E8" w:rsidP="00937CB1">
            <w:pPr>
              <w:spacing w:after="0" w:line="240" w:lineRule="auto"/>
              <w:jc w:val="center"/>
              <w:rPr>
                <w:rFonts w:ascii="Times New Roman" w:eastAsia="Times New Roman" w:hAnsi="Times New Roman" w:cs="Times New Roman"/>
                <w:color w:val="000000"/>
              </w:rPr>
            </w:pPr>
            <w:r w:rsidRPr="005417E8">
              <w:rPr>
                <w:rFonts w:ascii="Times New Roman" w:eastAsia="Times New Roman" w:hAnsi="Times New Roman" w:cs="Times New Roman"/>
                <w:color w:val="000000"/>
              </w:rPr>
              <w:t>Construct</w:t>
            </w:r>
          </w:p>
        </w:tc>
        <w:tc>
          <w:tcPr>
            <w:tcW w:w="878" w:type="dxa"/>
            <w:tcBorders>
              <w:top w:val="single" w:sz="12" w:space="0" w:color="auto"/>
              <w:left w:val="nil"/>
              <w:bottom w:val="single" w:sz="12" w:space="0" w:color="auto"/>
              <w:right w:val="single" w:sz="8" w:space="0" w:color="FFFFFF"/>
            </w:tcBorders>
            <w:shd w:val="clear" w:color="auto" w:fill="auto"/>
            <w:vAlign w:val="center"/>
            <w:hideMark/>
          </w:tcPr>
          <w:p w14:paraId="370B6341" w14:textId="77777777" w:rsidR="005417E8" w:rsidRPr="005417E8" w:rsidRDefault="005417E8" w:rsidP="00937CB1">
            <w:pPr>
              <w:spacing w:after="0" w:line="240" w:lineRule="auto"/>
              <w:jc w:val="center"/>
              <w:rPr>
                <w:rFonts w:ascii="Times New Roman" w:eastAsia="Times New Roman" w:hAnsi="Times New Roman" w:cs="Times New Roman"/>
                <w:color w:val="000000"/>
              </w:rPr>
            </w:pPr>
            <w:r w:rsidRPr="005417E8">
              <w:rPr>
                <w:rFonts w:ascii="Times New Roman" w:eastAsia="Times New Roman" w:hAnsi="Times New Roman" w:cs="Times New Roman"/>
                <w:color w:val="000000"/>
              </w:rPr>
              <w:t>Cross loading</w:t>
            </w:r>
          </w:p>
        </w:tc>
        <w:tc>
          <w:tcPr>
            <w:tcW w:w="960" w:type="dxa"/>
            <w:tcBorders>
              <w:top w:val="single" w:sz="12" w:space="0" w:color="auto"/>
              <w:left w:val="nil"/>
              <w:bottom w:val="single" w:sz="12" w:space="0" w:color="auto"/>
              <w:right w:val="nil"/>
            </w:tcBorders>
            <w:shd w:val="clear" w:color="auto" w:fill="auto"/>
            <w:noWrap/>
            <w:vAlign w:val="center"/>
            <w:hideMark/>
          </w:tcPr>
          <w:p w14:paraId="4AEB834A" w14:textId="77777777" w:rsidR="005417E8" w:rsidRPr="005417E8" w:rsidRDefault="005417E8" w:rsidP="00937CB1">
            <w:pPr>
              <w:spacing w:after="0" w:line="240" w:lineRule="auto"/>
              <w:jc w:val="center"/>
              <w:rPr>
                <w:rFonts w:ascii="Times New Roman" w:eastAsia="Times New Roman" w:hAnsi="Times New Roman" w:cs="Times New Roman"/>
                <w:color w:val="000000"/>
              </w:rPr>
            </w:pPr>
            <w:r w:rsidRPr="005417E8">
              <w:rPr>
                <w:rFonts w:ascii="Times New Roman" w:eastAsia="Times New Roman" w:hAnsi="Times New Roman" w:cs="Times New Roman"/>
                <w:color w:val="000000"/>
              </w:rPr>
              <w:t>AVE</w:t>
            </w:r>
          </w:p>
        </w:tc>
        <w:tc>
          <w:tcPr>
            <w:tcW w:w="1072" w:type="dxa"/>
            <w:tcBorders>
              <w:top w:val="single" w:sz="12" w:space="0" w:color="auto"/>
              <w:left w:val="nil"/>
              <w:bottom w:val="single" w:sz="12" w:space="0" w:color="auto"/>
              <w:right w:val="nil"/>
            </w:tcBorders>
            <w:shd w:val="clear" w:color="auto" w:fill="auto"/>
            <w:noWrap/>
            <w:vAlign w:val="center"/>
            <w:hideMark/>
          </w:tcPr>
          <w:p w14:paraId="48187D15" w14:textId="77777777" w:rsidR="005417E8" w:rsidRPr="005417E8" w:rsidRDefault="005417E8" w:rsidP="00937CB1">
            <w:pPr>
              <w:spacing w:after="0" w:line="240" w:lineRule="auto"/>
              <w:jc w:val="center"/>
              <w:rPr>
                <w:rFonts w:ascii="Times New Roman" w:eastAsia="Times New Roman" w:hAnsi="Times New Roman" w:cs="Times New Roman"/>
                <w:color w:val="000000"/>
              </w:rPr>
            </w:pPr>
            <w:r w:rsidRPr="005417E8">
              <w:rPr>
                <w:rFonts w:ascii="Times New Roman" w:eastAsia="Times New Roman" w:hAnsi="Times New Roman" w:cs="Times New Roman"/>
                <w:color w:val="000000"/>
              </w:rPr>
              <w:t>Cronbach Aplha</w:t>
            </w:r>
          </w:p>
        </w:tc>
      </w:tr>
      <w:tr w:rsidR="005417E8" w:rsidRPr="005417E8" w14:paraId="51655395" w14:textId="77777777" w:rsidTr="00937CB1">
        <w:trPr>
          <w:trHeight w:val="324"/>
        </w:trPr>
        <w:tc>
          <w:tcPr>
            <w:tcW w:w="6227" w:type="dxa"/>
            <w:gridSpan w:val="2"/>
            <w:tcBorders>
              <w:top w:val="single" w:sz="12" w:space="0" w:color="auto"/>
              <w:left w:val="single" w:sz="8" w:space="0" w:color="FFFFFF"/>
              <w:bottom w:val="nil"/>
              <w:right w:val="nil"/>
            </w:tcBorders>
            <w:shd w:val="clear" w:color="auto" w:fill="auto"/>
            <w:vAlign w:val="center"/>
            <w:hideMark/>
          </w:tcPr>
          <w:p w14:paraId="4242F5A7" w14:textId="4C2A2BDD"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 xml:space="preserve">Perceived Usefulness (PU) - </w:t>
            </w:r>
            <w:r w:rsidR="00372CDC">
              <w:rPr>
                <w:rFonts w:ascii="Times New Roman" w:eastAsia="Times New Roman" w:hAnsi="Times New Roman" w:cs="Times New Roman"/>
                <w:color w:val="000000"/>
              </w:rPr>
              <w:fldChar w:fldCharType="begin" w:fldLock="1"/>
            </w:r>
            <w:r w:rsidR="00372CDC">
              <w:rPr>
                <w:rFonts w:ascii="Times New Roman" w:eastAsia="Times New Roman" w:hAnsi="Times New Roman" w:cs="Times New Roman"/>
                <w:color w:val="000000"/>
              </w:rPr>
              <w:instrText>ADDIN CSL_CITATION {"citationItems":[{"id":"ITEM-1","itemData":{"DOI":"10.2307/249008","ISSN":"02767783","abstract":"Valid measurement scales for predicting user acceptance of computers are in short supply. Most subjective measures used in practice are unvalidated, and their relationship to system usage is unknown. The present research develops and vandales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 .98 for usefulness and .94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toy a parallel, direct determinant of system usage. Implications are drawn for future research on user acceptance.","author":[{"dropping-particle":"","family":"Davis","given":"Fred D.","non-dropping-particle":"","parse-names":false,"suffix":""}],"container-title":"MIS Quarterly: Management Information Systems","id":"ITEM-1","issue":"3","issued":{"date-parts":[["1989"]]},"page":"319-339","title":"Perceived usefulness, perceived ease of use, and user acceptance of information technology","type":"article-journal","volume":"13"},"uris":["http://www.mendeley.com/documents/?uuid=b10647ae-7061-4d07-9df5-b5359aa33f63"]}],"mendeley":{"formattedCitation":"(Davis, 1989)","plainTextFormattedCitation":"(Davis, 1989)","previouslyFormattedCitation":"(Davis, 1989)"},"properties":{"noteIndex":0},"schema":"https://github.com/citation-style-language/schema/raw/master/csl-citation.json"}</w:instrText>
            </w:r>
            <w:r w:rsidR="00372CDC">
              <w:rPr>
                <w:rFonts w:ascii="Times New Roman" w:eastAsia="Times New Roman" w:hAnsi="Times New Roman" w:cs="Times New Roman"/>
                <w:color w:val="000000"/>
              </w:rPr>
              <w:fldChar w:fldCharType="separate"/>
            </w:r>
            <w:r w:rsidR="00372CDC" w:rsidRPr="00372CDC">
              <w:rPr>
                <w:rFonts w:ascii="Times New Roman" w:eastAsia="Times New Roman" w:hAnsi="Times New Roman" w:cs="Times New Roman"/>
                <w:noProof/>
                <w:color w:val="000000"/>
              </w:rPr>
              <w:t>(Davis, 1989)</w:t>
            </w:r>
            <w:r w:rsidR="00372CDC">
              <w:rPr>
                <w:rFonts w:ascii="Times New Roman" w:eastAsia="Times New Roman" w:hAnsi="Times New Roman" w:cs="Times New Roman"/>
                <w:color w:val="000000"/>
              </w:rPr>
              <w:fldChar w:fldCharType="end"/>
            </w:r>
            <w:r w:rsidR="00372CDC">
              <w:rPr>
                <w:rFonts w:ascii="Times New Roman" w:eastAsia="Times New Roman" w:hAnsi="Times New Roman" w:cs="Times New Roman"/>
                <w:color w:val="000000"/>
              </w:rPr>
              <w:t xml:space="preserve"> </w:t>
            </w:r>
          </w:p>
        </w:tc>
        <w:tc>
          <w:tcPr>
            <w:tcW w:w="878" w:type="dxa"/>
            <w:tcBorders>
              <w:top w:val="single" w:sz="12" w:space="0" w:color="auto"/>
              <w:left w:val="nil"/>
              <w:bottom w:val="nil"/>
              <w:right w:val="nil"/>
            </w:tcBorders>
            <w:shd w:val="clear" w:color="auto" w:fill="auto"/>
            <w:noWrap/>
            <w:vAlign w:val="center"/>
            <w:hideMark/>
          </w:tcPr>
          <w:p w14:paraId="1DD6ED7F"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960" w:type="dxa"/>
            <w:tcBorders>
              <w:top w:val="single" w:sz="12" w:space="0" w:color="auto"/>
              <w:left w:val="nil"/>
              <w:bottom w:val="nil"/>
              <w:right w:val="nil"/>
            </w:tcBorders>
            <w:shd w:val="clear" w:color="auto" w:fill="auto"/>
            <w:noWrap/>
            <w:vAlign w:val="center"/>
            <w:hideMark/>
          </w:tcPr>
          <w:p w14:paraId="5961F534"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0.794</w:t>
            </w:r>
          </w:p>
        </w:tc>
        <w:tc>
          <w:tcPr>
            <w:tcW w:w="1072" w:type="dxa"/>
            <w:tcBorders>
              <w:top w:val="single" w:sz="12" w:space="0" w:color="auto"/>
              <w:left w:val="nil"/>
              <w:bottom w:val="nil"/>
              <w:right w:val="nil"/>
            </w:tcBorders>
            <w:shd w:val="clear" w:color="auto" w:fill="auto"/>
            <w:noWrap/>
            <w:vAlign w:val="center"/>
            <w:hideMark/>
          </w:tcPr>
          <w:p w14:paraId="1E08C474"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0.948</w:t>
            </w:r>
          </w:p>
        </w:tc>
      </w:tr>
      <w:tr w:rsidR="005417E8" w:rsidRPr="005417E8" w14:paraId="03656D39" w14:textId="77777777" w:rsidTr="00937CB1">
        <w:trPr>
          <w:trHeight w:val="324"/>
        </w:trPr>
        <w:tc>
          <w:tcPr>
            <w:tcW w:w="608" w:type="dxa"/>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374452DF"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PU1</w:t>
            </w:r>
          </w:p>
        </w:tc>
        <w:tc>
          <w:tcPr>
            <w:tcW w:w="5619" w:type="dxa"/>
            <w:tcBorders>
              <w:top w:val="single" w:sz="8" w:space="0" w:color="FFFFFF"/>
              <w:left w:val="nil"/>
              <w:bottom w:val="single" w:sz="8" w:space="0" w:color="FFFFFF"/>
              <w:right w:val="single" w:sz="8" w:space="0" w:color="FFFFFF"/>
            </w:tcBorders>
            <w:shd w:val="clear" w:color="auto" w:fill="auto"/>
            <w:vAlign w:val="center"/>
            <w:hideMark/>
          </w:tcPr>
          <w:p w14:paraId="532C0363"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e-commerce allows me to find products/services more quickly</w:t>
            </w:r>
          </w:p>
        </w:tc>
        <w:tc>
          <w:tcPr>
            <w:tcW w:w="878" w:type="dxa"/>
            <w:tcBorders>
              <w:top w:val="nil"/>
              <w:left w:val="nil"/>
              <w:bottom w:val="nil"/>
              <w:right w:val="nil"/>
            </w:tcBorders>
            <w:shd w:val="clear" w:color="auto" w:fill="auto"/>
            <w:noWrap/>
            <w:vAlign w:val="center"/>
            <w:hideMark/>
          </w:tcPr>
          <w:p w14:paraId="5A8AC6A7"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0.859</w:t>
            </w:r>
          </w:p>
        </w:tc>
        <w:tc>
          <w:tcPr>
            <w:tcW w:w="960" w:type="dxa"/>
            <w:tcBorders>
              <w:top w:val="nil"/>
              <w:left w:val="nil"/>
              <w:bottom w:val="nil"/>
              <w:right w:val="nil"/>
            </w:tcBorders>
            <w:shd w:val="clear" w:color="auto" w:fill="auto"/>
            <w:noWrap/>
            <w:vAlign w:val="center"/>
            <w:hideMark/>
          </w:tcPr>
          <w:p w14:paraId="18F3DEC5"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1072" w:type="dxa"/>
            <w:tcBorders>
              <w:top w:val="nil"/>
              <w:left w:val="nil"/>
              <w:bottom w:val="nil"/>
              <w:right w:val="nil"/>
            </w:tcBorders>
            <w:shd w:val="clear" w:color="auto" w:fill="auto"/>
            <w:noWrap/>
            <w:vAlign w:val="center"/>
            <w:hideMark/>
          </w:tcPr>
          <w:p w14:paraId="5EB5E6D5" w14:textId="77777777" w:rsidR="005417E8" w:rsidRPr="005417E8" w:rsidRDefault="005417E8" w:rsidP="00937CB1">
            <w:pPr>
              <w:spacing w:after="0" w:line="240" w:lineRule="auto"/>
              <w:jc w:val="right"/>
              <w:rPr>
                <w:rFonts w:ascii="Times New Roman" w:eastAsia="Times New Roman" w:hAnsi="Times New Roman" w:cs="Times New Roman"/>
              </w:rPr>
            </w:pPr>
          </w:p>
        </w:tc>
      </w:tr>
      <w:tr w:rsidR="005417E8" w:rsidRPr="005417E8" w14:paraId="73D48833" w14:textId="77777777" w:rsidTr="00937CB1">
        <w:trPr>
          <w:trHeight w:val="324"/>
        </w:trPr>
        <w:tc>
          <w:tcPr>
            <w:tcW w:w="608" w:type="dxa"/>
            <w:tcBorders>
              <w:top w:val="nil"/>
              <w:left w:val="single" w:sz="8" w:space="0" w:color="FFFFFF"/>
              <w:bottom w:val="single" w:sz="8" w:space="0" w:color="FFFFFF"/>
              <w:right w:val="single" w:sz="8" w:space="0" w:color="FFFFFF"/>
            </w:tcBorders>
            <w:shd w:val="clear" w:color="auto" w:fill="auto"/>
            <w:vAlign w:val="center"/>
            <w:hideMark/>
          </w:tcPr>
          <w:p w14:paraId="651BD023"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PU2</w:t>
            </w:r>
          </w:p>
        </w:tc>
        <w:tc>
          <w:tcPr>
            <w:tcW w:w="5619" w:type="dxa"/>
            <w:tcBorders>
              <w:top w:val="nil"/>
              <w:left w:val="nil"/>
              <w:bottom w:val="single" w:sz="8" w:space="0" w:color="FFFFFF"/>
              <w:right w:val="single" w:sz="8" w:space="0" w:color="FFFFFF"/>
            </w:tcBorders>
            <w:shd w:val="clear" w:color="auto" w:fill="auto"/>
            <w:vAlign w:val="center"/>
            <w:hideMark/>
          </w:tcPr>
          <w:p w14:paraId="770CC3E6"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e-commerce makes it easier for me to find goods/services that are useful for me</w:t>
            </w:r>
          </w:p>
        </w:tc>
        <w:tc>
          <w:tcPr>
            <w:tcW w:w="878" w:type="dxa"/>
            <w:tcBorders>
              <w:top w:val="nil"/>
              <w:left w:val="nil"/>
              <w:bottom w:val="nil"/>
              <w:right w:val="nil"/>
            </w:tcBorders>
            <w:shd w:val="clear" w:color="auto" w:fill="auto"/>
            <w:noWrap/>
            <w:vAlign w:val="center"/>
            <w:hideMark/>
          </w:tcPr>
          <w:p w14:paraId="3FC4520E"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0.906</w:t>
            </w:r>
          </w:p>
        </w:tc>
        <w:tc>
          <w:tcPr>
            <w:tcW w:w="960" w:type="dxa"/>
            <w:tcBorders>
              <w:top w:val="nil"/>
              <w:left w:val="nil"/>
              <w:bottom w:val="nil"/>
              <w:right w:val="nil"/>
            </w:tcBorders>
            <w:shd w:val="clear" w:color="auto" w:fill="auto"/>
            <w:noWrap/>
            <w:vAlign w:val="center"/>
            <w:hideMark/>
          </w:tcPr>
          <w:p w14:paraId="698CB488"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1072" w:type="dxa"/>
            <w:tcBorders>
              <w:top w:val="nil"/>
              <w:left w:val="nil"/>
              <w:bottom w:val="nil"/>
              <w:right w:val="nil"/>
            </w:tcBorders>
            <w:shd w:val="clear" w:color="auto" w:fill="auto"/>
            <w:noWrap/>
            <w:vAlign w:val="center"/>
            <w:hideMark/>
          </w:tcPr>
          <w:p w14:paraId="55F6B041" w14:textId="77777777" w:rsidR="005417E8" w:rsidRPr="005417E8" w:rsidRDefault="005417E8" w:rsidP="00937CB1">
            <w:pPr>
              <w:spacing w:after="0" w:line="240" w:lineRule="auto"/>
              <w:jc w:val="right"/>
              <w:rPr>
                <w:rFonts w:ascii="Times New Roman" w:eastAsia="Times New Roman" w:hAnsi="Times New Roman" w:cs="Times New Roman"/>
              </w:rPr>
            </w:pPr>
          </w:p>
        </w:tc>
      </w:tr>
      <w:tr w:rsidR="005417E8" w:rsidRPr="005417E8" w14:paraId="47B6041E" w14:textId="77777777" w:rsidTr="00937CB1">
        <w:trPr>
          <w:trHeight w:val="324"/>
        </w:trPr>
        <w:tc>
          <w:tcPr>
            <w:tcW w:w="608" w:type="dxa"/>
            <w:tcBorders>
              <w:top w:val="nil"/>
              <w:left w:val="single" w:sz="8" w:space="0" w:color="FFFFFF"/>
              <w:bottom w:val="single" w:sz="8" w:space="0" w:color="FFFFFF"/>
              <w:right w:val="single" w:sz="8" w:space="0" w:color="FFFFFF"/>
            </w:tcBorders>
            <w:shd w:val="clear" w:color="auto" w:fill="auto"/>
            <w:vAlign w:val="center"/>
            <w:hideMark/>
          </w:tcPr>
          <w:p w14:paraId="3B79FD85"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PU3</w:t>
            </w:r>
          </w:p>
        </w:tc>
        <w:tc>
          <w:tcPr>
            <w:tcW w:w="5619" w:type="dxa"/>
            <w:tcBorders>
              <w:top w:val="nil"/>
              <w:left w:val="nil"/>
              <w:bottom w:val="single" w:sz="8" w:space="0" w:color="FFFFFF"/>
              <w:right w:val="single" w:sz="8" w:space="0" w:color="FFFFFF"/>
            </w:tcBorders>
            <w:shd w:val="clear" w:color="auto" w:fill="auto"/>
            <w:vAlign w:val="center"/>
            <w:hideMark/>
          </w:tcPr>
          <w:p w14:paraId="51FFADDC"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e-commerce is effective in managing my transactions.</w:t>
            </w:r>
          </w:p>
        </w:tc>
        <w:tc>
          <w:tcPr>
            <w:tcW w:w="878" w:type="dxa"/>
            <w:tcBorders>
              <w:top w:val="nil"/>
              <w:left w:val="nil"/>
              <w:bottom w:val="nil"/>
              <w:right w:val="nil"/>
            </w:tcBorders>
            <w:shd w:val="clear" w:color="auto" w:fill="auto"/>
            <w:noWrap/>
            <w:vAlign w:val="center"/>
            <w:hideMark/>
          </w:tcPr>
          <w:p w14:paraId="58BDA2E4"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0.889</w:t>
            </w:r>
          </w:p>
        </w:tc>
        <w:tc>
          <w:tcPr>
            <w:tcW w:w="960" w:type="dxa"/>
            <w:tcBorders>
              <w:top w:val="nil"/>
              <w:left w:val="nil"/>
              <w:bottom w:val="nil"/>
              <w:right w:val="nil"/>
            </w:tcBorders>
            <w:shd w:val="clear" w:color="auto" w:fill="auto"/>
            <w:noWrap/>
            <w:vAlign w:val="center"/>
            <w:hideMark/>
          </w:tcPr>
          <w:p w14:paraId="7E1EFA16"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1072" w:type="dxa"/>
            <w:tcBorders>
              <w:top w:val="nil"/>
              <w:left w:val="nil"/>
              <w:bottom w:val="nil"/>
              <w:right w:val="nil"/>
            </w:tcBorders>
            <w:shd w:val="clear" w:color="auto" w:fill="auto"/>
            <w:noWrap/>
            <w:vAlign w:val="center"/>
            <w:hideMark/>
          </w:tcPr>
          <w:p w14:paraId="056D2877" w14:textId="77777777" w:rsidR="005417E8" w:rsidRPr="005417E8" w:rsidRDefault="005417E8" w:rsidP="00937CB1">
            <w:pPr>
              <w:spacing w:after="0" w:line="240" w:lineRule="auto"/>
              <w:jc w:val="right"/>
              <w:rPr>
                <w:rFonts w:ascii="Times New Roman" w:eastAsia="Times New Roman" w:hAnsi="Times New Roman" w:cs="Times New Roman"/>
              </w:rPr>
            </w:pPr>
          </w:p>
        </w:tc>
      </w:tr>
      <w:tr w:rsidR="005417E8" w:rsidRPr="005417E8" w14:paraId="3E98A01F" w14:textId="77777777" w:rsidTr="00937CB1">
        <w:trPr>
          <w:trHeight w:val="324"/>
        </w:trPr>
        <w:tc>
          <w:tcPr>
            <w:tcW w:w="608" w:type="dxa"/>
            <w:tcBorders>
              <w:top w:val="nil"/>
              <w:left w:val="single" w:sz="8" w:space="0" w:color="FFFFFF"/>
              <w:bottom w:val="single" w:sz="8" w:space="0" w:color="FFFFFF"/>
              <w:right w:val="single" w:sz="8" w:space="0" w:color="FFFFFF"/>
            </w:tcBorders>
            <w:shd w:val="clear" w:color="auto" w:fill="auto"/>
            <w:vAlign w:val="center"/>
            <w:hideMark/>
          </w:tcPr>
          <w:p w14:paraId="2CC8D727"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PU4</w:t>
            </w:r>
          </w:p>
        </w:tc>
        <w:tc>
          <w:tcPr>
            <w:tcW w:w="5619" w:type="dxa"/>
            <w:tcBorders>
              <w:top w:val="nil"/>
              <w:left w:val="nil"/>
              <w:bottom w:val="single" w:sz="8" w:space="0" w:color="FFFFFF"/>
              <w:right w:val="single" w:sz="8" w:space="0" w:color="FFFFFF"/>
            </w:tcBorders>
            <w:shd w:val="clear" w:color="auto" w:fill="auto"/>
            <w:vAlign w:val="center"/>
            <w:hideMark/>
          </w:tcPr>
          <w:p w14:paraId="2FF2CE5B"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e-commerce allows me to shop faster</w:t>
            </w:r>
          </w:p>
        </w:tc>
        <w:tc>
          <w:tcPr>
            <w:tcW w:w="878" w:type="dxa"/>
            <w:tcBorders>
              <w:top w:val="nil"/>
              <w:left w:val="nil"/>
              <w:bottom w:val="nil"/>
              <w:right w:val="nil"/>
            </w:tcBorders>
            <w:shd w:val="clear" w:color="auto" w:fill="auto"/>
            <w:noWrap/>
            <w:vAlign w:val="center"/>
            <w:hideMark/>
          </w:tcPr>
          <w:p w14:paraId="10E35513"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0.89</w:t>
            </w:r>
          </w:p>
        </w:tc>
        <w:tc>
          <w:tcPr>
            <w:tcW w:w="960" w:type="dxa"/>
            <w:tcBorders>
              <w:top w:val="nil"/>
              <w:left w:val="nil"/>
              <w:bottom w:val="nil"/>
              <w:right w:val="nil"/>
            </w:tcBorders>
            <w:shd w:val="clear" w:color="auto" w:fill="auto"/>
            <w:noWrap/>
            <w:vAlign w:val="center"/>
            <w:hideMark/>
          </w:tcPr>
          <w:p w14:paraId="7C436F79"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1072" w:type="dxa"/>
            <w:tcBorders>
              <w:top w:val="nil"/>
              <w:left w:val="nil"/>
              <w:bottom w:val="nil"/>
              <w:right w:val="nil"/>
            </w:tcBorders>
            <w:shd w:val="clear" w:color="auto" w:fill="auto"/>
            <w:noWrap/>
            <w:vAlign w:val="center"/>
            <w:hideMark/>
          </w:tcPr>
          <w:p w14:paraId="4218704A" w14:textId="77777777" w:rsidR="005417E8" w:rsidRPr="005417E8" w:rsidRDefault="005417E8" w:rsidP="00937CB1">
            <w:pPr>
              <w:spacing w:after="0" w:line="240" w:lineRule="auto"/>
              <w:jc w:val="right"/>
              <w:rPr>
                <w:rFonts w:ascii="Times New Roman" w:eastAsia="Times New Roman" w:hAnsi="Times New Roman" w:cs="Times New Roman"/>
              </w:rPr>
            </w:pPr>
          </w:p>
        </w:tc>
      </w:tr>
      <w:tr w:rsidR="005417E8" w:rsidRPr="005417E8" w14:paraId="13977416" w14:textId="77777777" w:rsidTr="00937CB1">
        <w:trPr>
          <w:trHeight w:val="324"/>
        </w:trPr>
        <w:tc>
          <w:tcPr>
            <w:tcW w:w="608" w:type="dxa"/>
            <w:tcBorders>
              <w:top w:val="nil"/>
              <w:left w:val="single" w:sz="8" w:space="0" w:color="FFFFFF"/>
              <w:bottom w:val="single" w:sz="8" w:space="0" w:color="FFFFFF"/>
              <w:right w:val="single" w:sz="8" w:space="0" w:color="FFFFFF"/>
            </w:tcBorders>
            <w:shd w:val="clear" w:color="auto" w:fill="auto"/>
            <w:vAlign w:val="center"/>
            <w:hideMark/>
          </w:tcPr>
          <w:p w14:paraId="0043ABEB"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PU5</w:t>
            </w:r>
          </w:p>
        </w:tc>
        <w:tc>
          <w:tcPr>
            <w:tcW w:w="5619" w:type="dxa"/>
            <w:tcBorders>
              <w:top w:val="nil"/>
              <w:left w:val="nil"/>
              <w:bottom w:val="single" w:sz="8" w:space="0" w:color="FFFFFF"/>
              <w:right w:val="single" w:sz="8" w:space="0" w:color="FFFFFF"/>
            </w:tcBorders>
            <w:shd w:val="clear" w:color="auto" w:fill="auto"/>
            <w:vAlign w:val="center"/>
            <w:hideMark/>
          </w:tcPr>
          <w:p w14:paraId="3F270401"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I find e-commerce useful for shopping.</w:t>
            </w:r>
          </w:p>
        </w:tc>
        <w:tc>
          <w:tcPr>
            <w:tcW w:w="878" w:type="dxa"/>
            <w:tcBorders>
              <w:top w:val="nil"/>
              <w:left w:val="nil"/>
              <w:bottom w:val="nil"/>
              <w:right w:val="nil"/>
            </w:tcBorders>
            <w:shd w:val="clear" w:color="auto" w:fill="auto"/>
            <w:noWrap/>
            <w:vAlign w:val="center"/>
            <w:hideMark/>
          </w:tcPr>
          <w:p w14:paraId="56D16597"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0.896</w:t>
            </w:r>
          </w:p>
        </w:tc>
        <w:tc>
          <w:tcPr>
            <w:tcW w:w="960" w:type="dxa"/>
            <w:tcBorders>
              <w:top w:val="nil"/>
              <w:left w:val="nil"/>
              <w:bottom w:val="nil"/>
              <w:right w:val="nil"/>
            </w:tcBorders>
            <w:shd w:val="clear" w:color="auto" w:fill="auto"/>
            <w:noWrap/>
            <w:vAlign w:val="center"/>
            <w:hideMark/>
          </w:tcPr>
          <w:p w14:paraId="3A33482B"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1072" w:type="dxa"/>
            <w:tcBorders>
              <w:top w:val="nil"/>
              <w:left w:val="nil"/>
              <w:bottom w:val="nil"/>
              <w:right w:val="nil"/>
            </w:tcBorders>
            <w:shd w:val="clear" w:color="auto" w:fill="auto"/>
            <w:noWrap/>
            <w:vAlign w:val="center"/>
            <w:hideMark/>
          </w:tcPr>
          <w:p w14:paraId="5C646C31" w14:textId="77777777" w:rsidR="005417E8" w:rsidRPr="005417E8" w:rsidRDefault="005417E8" w:rsidP="00937CB1">
            <w:pPr>
              <w:spacing w:after="0" w:line="240" w:lineRule="auto"/>
              <w:jc w:val="right"/>
              <w:rPr>
                <w:rFonts w:ascii="Times New Roman" w:eastAsia="Times New Roman" w:hAnsi="Times New Roman" w:cs="Times New Roman"/>
              </w:rPr>
            </w:pPr>
          </w:p>
        </w:tc>
      </w:tr>
      <w:tr w:rsidR="005417E8" w:rsidRPr="005417E8" w14:paraId="1DDE8A8C" w14:textId="77777777" w:rsidTr="00937CB1">
        <w:trPr>
          <w:trHeight w:val="324"/>
        </w:trPr>
        <w:tc>
          <w:tcPr>
            <w:tcW w:w="608" w:type="dxa"/>
            <w:tcBorders>
              <w:top w:val="nil"/>
              <w:left w:val="single" w:sz="8" w:space="0" w:color="FFFFFF"/>
              <w:bottom w:val="single" w:sz="8" w:space="0" w:color="FFFFFF"/>
              <w:right w:val="single" w:sz="8" w:space="0" w:color="FFFFFF"/>
            </w:tcBorders>
            <w:shd w:val="clear" w:color="auto" w:fill="auto"/>
            <w:vAlign w:val="center"/>
            <w:hideMark/>
          </w:tcPr>
          <w:p w14:paraId="344D3321"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PU6</w:t>
            </w:r>
          </w:p>
        </w:tc>
        <w:tc>
          <w:tcPr>
            <w:tcW w:w="5619" w:type="dxa"/>
            <w:tcBorders>
              <w:top w:val="nil"/>
              <w:left w:val="nil"/>
              <w:bottom w:val="single" w:sz="8" w:space="0" w:color="FFFFFF"/>
              <w:right w:val="single" w:sz="8" w:space="0" w:color="FFFFFF"/>
            </w:tcBorders>
            <w:shd w:val="clear" w:color="auto" w:fill="auto"/>
            <w:vAlign w:val="center"/>
            <w:hideMark/>
          </w:tcPr>
          <w:p w14:paraId="10AF493D" w14:textId="38BA3FF1"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I find e-commerce platform</w:t>
            </w:r>
            <w:r w:rsidR="00372CDC">
              <w:rPr>
                <w:rFonts w:ascii="Times New Roman" w:eastAsia="Times New Roman" w:hAnsi="Times New Roman" w:cs="Times New Roman"/>
                <w:color w:val="000000"/>
              </w:rPr>
              <w:t>s</w:t>
            </w:r>
            <w:r w:rsidRPr="005417E8">
              <w:rPr>
                <w:rFonts w:ascii="Times New Roman" w:eastAsia="Times New Roman" w:hAnsi="Times New Roman" w:cs="Times New Roman"/>
                <w:color w:val="000000"/>
              </w:rPr>
              <w:t xml:space="preserve"> useful in my daily life</w:t>
            </w:r>
          </w:p>
        </w:tc>
        <w:tc>
          <w:tcPr>
            <w:tcW w:w="878" w:type="dxa"/>
            <w:tcBorders>
              <w:top w:val="nil"/>
              <w:left w:val="nil"/>
              <w:bottom w:val="nil"/>
              <w:right w:val="nil"/>
            </w:tcBorders>
            <w:shd w:val="clear" w:color="auto" w:fill="auto"/>
            <w:noWrap/>
            <w:vAlign w:val="center"/>
            <w:hideMark/>
          </w:tcPr>
          <w:p w14:paraId="2F99713E"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0.904</w:t>
            </w:r>
          </w:p>
        </w:tc>
        <w:tc>
          <w:tcPr>
            <w:tcW w:w="960" w:type="dxa"/>
            <w:tcBorders>
              <w:top w:val="nil"/>
              <w:left w:val="nil"/>
              <w:bottom w:val="nil"/>
              <w:right w:val="nil"/>
            </w:tcBorders>
            <w:shd w:val="clear" w:color="auto" w:fill="auto"/>
            <w:noWrap/>
            <w:vAlign w:val="center"/>
            <w:hideMark/>
          </w:tcPr>
          <w:p w14:paraId="2C9A2753"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1072" w:type="dxa"/>
            <w:tcBorders>
              <w:top w:val="nil"/>
              <w:left w:val="nil"/>
              <w:bottom w:val="nil"/>
              <w:right w:val="nil"/>
            </w:tcBorders>
            <w:shd w:val="clear" w:color="auto" w:fill="auto"/>
            <w:noWrap/>
            <w:vAlign w:val="center"/>
            <w:hideMark/>
          </w:tcPr>
          <w:p w14:paraId="30E35FCA" w14:textId="77777777" w:rsidR="005417E8" w:rsidRPr="005417E8" w:rsidRDefault="005417E8" w:rsidP="00937CB1">
            <w:pPr>
              <w:spacing w:after="0" w:line="240" w:lineRule="auto"/>
              <w:jc w:val="right"/>
              <w:rPr>
                <w:rFonts w:ascii="Times New Roman" w:eastAsia="Times New Roman" w:hAnsi="Times New Roman" w:cs="Times New Roman"/>
              </w:rPr>
            </w:pPr>
          </w:p>
        </w:tc>
      </w:tr>
      <w:tr w:rsidR="005417E8" w:rsidRPr="005417E8" w14:paraId="4F63D33B" w14:textId="77777777" w:rsidTr="00937CB1">
        <w:trPr>
          <w:trHeight w:val="324"/>
        </w:trPr>
        <w:tc>
          <w:tcPr>
            <w:tcW w:w="6227" w:type="dxa"/>
            <w:gridSpan w:val="2"/>
            <w:tcBorders>
              <w:top w:val="single" w:sz="8" w:space="0" w:color="FFFFFF"/>
              <w:left w:val="single" w:sz="8" w:space="0" w:color="FFFFFF"/>
              <w:bottom w:val="nil"/>
              <w:right w:val="nil"/>
            </w:tcBorders>
            <w:shd w:val="clear" w:color="auto" w:fill="auto"/>
            <w:vAlign w:val="center"/>
            <w:hideMark/>
          </w:tcPr>
          <w:p w14:paraId="7D75DF3E" w14:textId="6CFA496C"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Satisfaction (ST) -</w:t>
            </w:r>
            <w:r w:rsidR="00372CDC">
              <w:rPr>
                <w:rFonts w:ascii="Times New Roman" w:eastAsia="Times New Roman" w:hAnsi="Times New Roman" w:cs="Times New Roman"/>
                <w:color w:val="000000"/>
              </w:rPr>
              <w:t xml:space="preserve"> </w:t>
            </w:r>
            <w:r w:rsidR="00372CDC">
              <w:rPr>
                <w:rFonts w:ascii="Times New Roman" w:eastAsia="Times New Roman" w:hAnsi="Times New Roman" w:cs="Times New Roman"/>
                <w:color w:val="000000"/>
              </w:rPr>
              <w:fldChar w:fldCharType="begin" w:fldLock="1"/>
            </w:r>
            <w:r w:rsidR="00372CDC">
              <w:rPr>
                <w:rFonts w:ascii="Times New Roman" w:eastAsia="Times New Roman" w:hAnsi="Times New Roman" w:cs="Times New Roman"/>
                <w:color w:val="000000"/>
              </w:rPr>
              <w:instrText>ADDIN CSL_CITATION {"citationItems":[{"id":"ITEM-1","itemData":{"DOI":"10.2307/3250921","ISSN":"02767783","author":[{"dropping-particle":"","family":"Bhattacherjee","given":"Anol","non-dropping-particle":"","parse-names":false,"suffix":""}],"container-title":"MIS Quarterly","id":"ITEM-1","issue":"3","issued":{"date-parts":[["2001","9"]]},"page":"351","title":"Understanding Information Systems Continuance: An Expectation-Confirmation Model","type":"article-journal","volume":"25"},"uris":["http://www.mendeley.com/documents/?uuid=fb5493f6-ea0a-4de9-aae8-c97f93425c1c"]}],"mendeley":{"formattedCitation":"(Bhattacherjee, 2001)","plainTextFormattedCitation":"(Bhattacherjee, 2001)","previouslyFormattedCitation":"(Bhattacherjee, 2001)"},"properties":{"noteIndex":0},"schema":"https://github.com/citation-style-language/schema/raw/master/csl-citation.json"}</w:instrText>
            </w:r>
            <w:r w:rsidR="00372CDC">
              <w:rPr>
                <w:rFonts w:ascii="Times New Roman" w:eastAsia="Times New Roman" w:hAnsi="Times New Roman" w:cs="Times New Roman"/>
                <w:color w:val="000000"/>
              </w:rPr>
              <w:fldChar w:fldCharType="separate"/>
            </w:r>
            <w:r w:rsidR="00372CDC" w:rsidRPr="00372CDC">
              <w:rPr>
                <w:rFonts w:ascii="Times New Roman" w:eastAsia="Times New Roman" w:hAnsi="Times New Roman" w:cs="Times New Roman"/>
                <w:noProof/>
                <w:color w:val="000000"/>
              </w:rPr>
              <w:t>(Bhattacherjee, 2001)</w:t>
            </w:r>
            <w:r w:rsidR="00372CDC">
              <w:rPr>
                <w:rFonts w:ascii="Times New Roman" w:eastAsia="Times New Roman" w:hAnsi="Times New Roman" w:cs="Times New Roman"/>
                <w:color w:val="000000"/>
              </w:rPr>
              <w:fldChar w:fldCharType="end"/>
            </w:r>
            <w:r w:rsidR="00372CDC">
              <w:rPr>
                <w:rFonts w:ascii="Times New Roman" w:eastAsia="Times New Roman" w:hAnsi="Times New Roman" w:cs="Times New Roman"/>
                <w:color w:val="000000"/>
              </w:rPr>
              <w:t xml:space="preserve"> </w:t>
            </w:r>
            <w:r w:rsidRPr="005417E8">
              <w:rPr>
                <w:rFonts w:ascii="Times New Roman" w:eastAsia="Times New Roman" w:hAnsi="Times New Roman" w:cs="Times New Roman"/>
                <w:color w:val="000000"/>
              </w:rPr>
              <w:t xml:space="preserve"> </w:t>
            </w:r>
          </w:p>
        </w:tc>
        <w:tc>
          <w:tcPr>
            <w:tcW w:w="878" w:type="dxa"/>
            <w:tcBorders>
              <w:top w:val="nil"/>
              <w:left w:val="nil"/>
              <w:bottom w:val="nil"/>
              <w:right w:val="nil"/>
            </w:tcBorders>
            <w:shd w:val="clear" w:color="auto" w:fill="auto"/>
            <w:noWrap/>
            <w:vAlign w:val="center"/>
            <w:hideMark/>
          </w:tcPr>
          <w:p w14:paraId="2E024B2E"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14:paraId="290AEEB7"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0.797</w:t>
            </w:r>
          </w:p>
        </w:tc>
        <w:tc>
          <w:tcPr>
            <w:tcW w:w="1072" w:type="dxa"/>
            <w:tcBorders>
              <w:top w:val="nil"/>
              <w:left w:val="nil"/>
              <w:bottom w:val="nil"/>
              <w:right w:val="nil"/>
            </w:tcBorders>
            <w:shd w:val="clear" w:color="auto" w:fill="auto"/>
            <w:noWrap/>
            <w:vAlign w:val="center"/>
            <w:hideMark/>
          </w:tcPr>
          <w:p w14:paraId="2374B581"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0.915</w:t>
            </w:r>
          </w:p>
        </w:tc>
      </w:tr>
      <w:tr w:rsidR="005417E8" w:rsidRPr="005417E8" w14:paraId="650E7621" w14:textId="77777777" w:rsidTr="00937CB1">
        <w:trPr>
          <w:trHeight w:val="324"/>
        </w:trPr>
        <w:tc>
          <w:tcPr>
            <w:tcW w:w="608" w:type="dxa"/>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43AB4F35"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ST1</w:t>
            </w:r>
          </w:p>
        </w:tc>
        <w:tc>
          <w:tcPr>
            <w:tcW w:w="5619" w:type="dxa"/>
            <w:tcBorders>
              <w:top w:val="single" w:sz="8" w:space="0" w:color="FFFFFF"/>
              <w:left w:val="nil"/>
              <w:bottom w:val="single" w:sz="8" w:space="0" w:color="FFFFFF"/>
              <w:right w:val="single" w:sz="8" w:space="0" w:color="FFFFFF"/>
            </w:tcBorders>
            <w:shd w:val="clear" w:color="auto" w:fill="auto"/>
            <w:vAlign w:val="center"/>
            <w:hideMark/>
          </w:tcPr>
          <w:p w14:paraId="1E0A76C1" w14:textId="25290341"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I am satisf</w:t>
            </w:r>
            <w:r w:rsidR="00372CDC">
              <w:rPr>
                <w:rFonts w:ascii="Times New Roman" w:eastAsia="Times New Roman" w:hAnsi="Times New Roman" w:cs="Times New Roman"/>
                <w:color w:val="000000"/>
              </w:rPr>
              <w:t>i</w:t>
            </w:r>
            <w:r w:rsidRPr="005417E8">
              <w:rPr>
                <w:rFonts w:ascii="Times New Roman" w:eastAsia="Times New Roman" w:hAnsi="Times New Roman" w:cs="Times New Roman"/>
                <w:color w:val="000000"/>
              </w:rPr>
              <w:t xml:space="preserve">ed with my interactions </w:t>
            </w:r>
            <w:r w:rsidR="00372CDC">
              <w:rPr>
                <w:rFonts w:ascii="Times New Roman" w:eastAsia="Times New Roman" w:hAnsi="Times New Roman" w:cs="Times New Roman"/>
                <w:color w:val="000000"/>
              </w:rPr>
              <w:t xml:space="preserve">with </w:t>
            </w:r>
            <w:r w:rsidRPr="005417E8">
              <w:rPr>
                <w:rFonts w:ascii="Times New Roman" w:eastAsia="Times New Roman" w:hAnsi="Times New Roman" w:cs="Times New Roman"/>
                <w:color w:val="000000"/>
              </w:rPr>
              <w:t>one-commerce.</w:t>
            </w:r>
          </w:p>
        </w:tc>
        <w:tc>
          <w:tcPr>
            <w:tcW w:w="878" w:type="dxa"/>
            <w:tcBorders>
              <w:top w:val="nil"/>
              <w:left w:val="nil"/>
              <w:bottom w:val="nil"/>
              <w:right w:val="nil"/>
            </w:tcBorders>
            <w:shd w:val="clear" w:color="auto" w:fill="auto"/>
            <w:noWrap/>
            <w:vAlign w:val="center"/>
            <w:hideMark/>
          </w:tcPr>
          <w:p w14:paraId="127A7D11"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0.903</w:t>
            </w:r>
          </w:p>
        </w:tc>
        <w:tc>
          <w:tcPr>
            <w:tcW w:w="960" w:type="dxa"/>
            <w:tcBorders>
              <w:top w:val="nil"/>
              <w:left w:val="nil"/>
              <w:bottom w:val="nil"/>
              <w:right w:val="nil"/>
            </w:tcBorders>
            <w:shd w:val="clear" w:color="auto" w:fill="auto"/>
            <w:noWrap/>
            <w:vAlign w:val="center"/>
            <w:hideMark/>
          </w:tcPr>
          <w:p w14:paraId="001CBC70"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1072" w:type="dxa"/>
            <w:tcBorders>
              <w:top w:val="nil"/>
              <w:left w:val="nil"/>
              <w:bottom w:val="nil"/>
              <w:right w:val="nil"/>
            </w:tcBorders>
            <w:shd w:val="clear" w:color="auto" w:fill="auto"/>
            <w:noWrap/>
            <w:vAlign w:val="center"/>
            <w:hideMark/>
          </w:tcPr>
          <w:p w14:paraId="6975BE32" w14:textId="77777777" w:rsidR="005417E8" w:rsidRPr="005417E8" w:rsidRDefault="005417E8" w:rsidP="00937CB1">
            <w:pPr>
              <w:spacing w:after="0" w:line="240" w:lineRule="auto"/>
              <w:jc w:val="right"/>
              <w:rPr>
                <w:rFonts w:ascii="Times New Roman" w:eastAsia="Times New Roman" w:hAnsi="Times New Roman" w:cs="Times New Roman"/>
              </w:rPr>
            </w:pPr>
          </w:p>
        </w:tc>
      </w:tr>
      <w:tr w:rsidR="005417E8" w:rsidRPr="005417E8" w14:paraId="79383651" w14:textId="77777777" w:rsidTr="00937CB1">
        <w:trPr>
          <w:trHeight w:val="324"/>
        </w:trPr>
        <w:tc>
          <w:tcPr>
            <w:tcW w:w="608" w:type="dxa"/>
            <w:tcBorders>
              <w:top w:val="nil"/>
              <w:left w:val="single" w:sz="8" w:space="0" w:color="FFFFFF"/>
              <w:bottom w:val="single" w:sz="8" w:space="0" w:color="FFFFFF"/>
              <w:right w:val="single" w:sz="8" w:space="0" w:color="FFFFFF"/>
            </w:tcBorders>
            <w:shd w:val="clear" w:color="auto" w:fill="auto"/>
            <w:vAlign w:val="center"/>
            <w:hideMark/>
          </w:tcPr>
          <w:p w14:paraId="76D6C2C7"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ST2</w:t>
            </w:r>
          </w:p>
        </w:tc>
        <w:tc>
          <w:tcPr>
            <w:tcW w:w="5619" w:type="dxa"/>
            <w:tcBorders>
              <w:top w:val="nil"/>
              <w:left w:val="nil"/>
              <w:bottom w:val="single" w:sz="8" w:space="0" w:color="FFFFFF"/>
              <w:right w:val="single" w:sz="8" w:space="0" w:color="FFFFFF"/>
            </w:tcBorders>
            <w:shd w:val="clear" w:color="auto" w:fill="auto"/>
            <w:vAlign w:val="center"/>
            <w:hideMark/>
          </w:tcPr>
          <w:p w14:paraId="27FB30A0" w14:textId="316EA709"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 xml:space="preserve">I am happy with the quality of </w:t>
            </w:r>
            <w:r w:rsidR="00372CDC">
              <w:rPr>
                <w:rFonts w:ascii="Times New Roman" w:eastAsia="Times New Roman" w:hAnsi="Times New Roman" w:cs="Times New Roman"/>
                <w:color w:val="000000"/>
              </w:rPr>
              <w:t xml:space="preserve">the </w:t>
            </w:r>
            <w:r w:rsidRPr="005417E8">
              <w:rPr>
                <w:rFonts w:ascii="Times New Roman" w:eastAsia="Times New Roman" w:hAnsi="Times New Roman" w:cs="Times New Roman"/>
                <w:color w:val="000000"/>
              </w:rPr>
              <w:t>e-commerce information.</w:t>
            </w:r>
          </w:p>
        </w:tc>
        <w:tc>
          <w:tcPr>
            <w:tcW w:w="878" w:type="dxa"/>
            <w:tcBorders>
              <w:top w:val="nil"/>
              <w:left w:val="nil"/>
              <w:bottom w:val="nil"/>
              <w:right w:val="nil"/>
            </w:tcBorders>
            <w:shd w:val="clear" w:color="auto" w:fill="auto"/>
            <w:noWrap/>
            <w:vAlign w:val="center"/>
            <w:hideMark/>
          </w:tcPr>
          <w:p w14:paraId="6A8525FE"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0.873</w:t>
            </w:r>
          </w:p>
        </w:tc>
        <w:tc>
          <w:tcPr>
            <w:tcW w:w="960" w:type="dxa"/>
            <w:tcBorders>
              <w:top w:val="nil"/>
              <w:left w:val="nil"/>
              <w:bottom w:val="nil"/>
              <w:right w:val="nil"/>
            </w:tcBorders>
            <w:shd w:val="clear" w:color="auto" w:fill="auto"/>
            <w:noWrap/>
            <w:vAlign w:val="center"/>
            <w:hideMark/>
          </w:tcPr>
          <w:p w14:paraId="110F6023"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1072" w:type="dxa"/>
            <w:tcBorders>
              <w:top w:val="nil"/>
              <w:left w:val="nil"/>
              <w:bottom w:val="nil"/>
              <w:right w:val="nil"/>
            </w:tcBorders>
            <w:shd w:val="clear" w:color="auto" w:fill="auto"/>
            <w:noWrap/>
            <w:vAlign w:val="center"/>
            <w:hideMark/>
          </w:tcPr>
          <w:p w14:paraId="15E7D08C" w14:textId="77777777" w:rsidR="005417E8" w:rsidRPr="005417E8" w:rsidRDefault="005417E8" w:rsidP="00937CB1">
            <w:pPr>
              <w:spacing w:after="0" w:line="240" w:lineRule="auto"/>
              <w:jc w:val="right"/>
              <w:rPr>
                <w:rFonts w:ascii="Times New Roman" w:eastAsia="Times New Roman" w:hAnsi="Times New Roman" w:cs="Times New Roman"/>
              </w:rPr>
            </w:pPr>
          </w:p>
        </w:tc>
      </w:tr>
      <w:tr w:rsidR="005417E8" w:rsidRPr="005417E8" w14:paraId="37E5D5B1" w14:textId="77777777" w:rsidTr="00937CB1">
        <w:trPr>
          <w:trHeight w:val="324"/>
        </w:trPr>
        <w:tc>
          <w:tcPr>
            <w:tcW w:w="608" w:type="dxa"/>
            <w:tcBorders>
              <w:top w:val="nil"/>
              <w:left w:val="single" w:sz="8" w:space="0" w:color="FFFFFF"/>
              <w:bottom w:val="single" w:sz="8" w:space="0" w:color="FFFFFF"/>
              <w:right w:val="single" w:sz="8" w:space="0" w:color="FFFFFF"/>
            </w:tcBorders>
            <w:shd w:val="clear" w:color="auto" w:fill="auto"/>
            <w:vAlign w:val="center"/>
            <w:hideMark/>
          </w:tcPr>
          <w:p w14:paraId="7C88A8C0"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ST3</w:t>
            </w:r>
          </w:p>
        </w:tc>
        <w:tc>
          <w:tcPr>
            <w:tcW w:w="5619" w:type="dxa"/>
            <w:tcBorders>
              <w:top w:val="nil"/>
              <w:left w:val="nil"/>
              <w:bottom w:val="single" w:sz="8" w:space="0" w:color="FFFFFF"/>
              <w:right w:val="single" w:sz="8" w:space="0" w:color="FFFFFF"/>
            </w:tcBorders>
            <w:shd w:val="clear" w:color="auto" w:fill="auto"/>
            <w:vAlign w:val="center"/>
            <w:hideMark/>
          </w:tcPr>
          <w:p w14:paraId="21BEBA2C" w14:textId="23D836C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I am very conf</w:t>
            </w:r>
            <w:r w:rsidR="00372CDC">
              <w:rPr>
                <w:rFonts w:ascii="Times New Roman" w:eastAsia="Times New Roman" w:hAnsi="Times New Roman" w:cs="Times New Roman"/>
                <w:color w:val="000000"/>
              </w:rPr>
              <w:t>ident about</w:t>
            </w:r>
            <w:r w:rsidRPr="005417E8">
              <w:rPr>
                <w:rFonts w:ascii="Times New Roman" w:eastAsia="Times New Roman" w:hAnsi="Times New Roman" w:cs="Times New Roman"/>
                <w:color w:val="000000"/>
              </w:rPr>
              <w:t xml:space="preserve"> using e-commerce to access relevant information.</w:t>
            </w:r>
          </w:p>
        </w:tc>
        <w:tc>
          <w:tcPr>
            <w:tcW w:w="878" w:type="dxa"/>
            <w:tcBorders>
              <w:top w:val="nil"/>
              <w:left w:val="nil"/>
              <w:bottom w:val="nil"/>
              <w:right w:val="nil"/>
            </w:tcBorders>
            <w:shd w:val="clear" w:color="auto" w:fill="auto"/>
            <w:noWrap/>
            <w:vAlign w:val="center"/>
            <w:hideMark/>
          </w:tcPr>
          <w:p w14:paraId="2CF8FD88"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0.887</w:t>
            </w:r>
          </w:p>
        </w:tc>
        <w:tc>
          <w:tcPr>
            <w:tcW w:w="960" w:type="dxa"/>
            <w:tcBorders>
              <w:top w:val="nil"/>
              <w:left w:val="nil"/>
              <w:bottom w:val="nil"/>
              <w:right w:val="nil"/>
            </w:tcBorders>
            <w:shd w:val="clear" w:color="auto" w:fill="auto"/>
            <w:noWrap/>
            <w:vAlign w:val="center"/>
            <w:hideMark/>
          </w:tcPr>
          <w:p w14:paraId="6723122F"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1072" w:type="dxa"/>
            <w:tcBorders>
              <w:top w:val="nil"/>
              <w:left w:val="nil"/>
              <w:bottom w:val="nil"/>
              <w:right w:val="nil"/>
            </w:tcBorders>
            <w:shd w:val="clear" w:color="auto" w:fill="auto"/>
            <w:noWrap/>
            <w:vAlign w:val="center"/>
            <w:hideMark/>
          </w:tcPr>
          <w:p w14:paraId="477D95BA" w14:textId="77777777" w:rsidR="005417E8" w:rsidRPr="005417E8" w:rsidRDefault="005417E8" w:rsidP="00937CB1">
            <w:pPr>
              <w:spacing w:after="0" w:line="240" w:lineRule="auto"/>
              <w:jc w:val="right"/>
              <w:rPr>
                <w:rFonts w:ascii="Times New Roman" w:eastAsia="Times New Roman" w:hAnsi="Times New Roman" w:cs="Times New Roman"/>
              </w:rPr>
            </w:pPr>
          </w:p>
        </w:tc>
      </w:tr>
      <w:tr w:rsidR="005417E8" w:rsidRPr="005417E8" w14:paraId="3D2C62D8" w14:textId="77777777" w:rsidTr="00937CB1">
        <w:trPr>
          <w:trHeight w:val="324"/>
        </w:trPr>
        <w:tc>
          <w:tcPr>
            <w:tcW w:w="608" w:type="dxa"/>
            <w:tcBorders>
              <w:top w:val="nil"/>
              <w:left w:val="single" w:sz="8" w:space="0" w:color="FFFFFF"/>
              <w:bottom w:val="single" w:sz="8" w:space="0" w:color="FFFFFF"/>
              <w:right w:val="single" w:sz="8" w:space="0" w:color="FFFFFF"/>
            </w:tcBorders>
            <w:shd w:val="clear" w:color="auto" w:fill="auto"/>
            <w:vAlign w:val="center"/>
            <w:hideMark/>
          </w:tcPr>
          <w:p w14:paraId="0743A7F8"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ST4</w:t>
            </w:r>
          </w:p>
        </w:tc>
        <w:tc>
          <w:tcPr>
            <w:tcW w:w="5619" w:type="dxa"/>
            <w:tcBorders>
              <w:top w:val="nil"/>
              <w:left w:val="nil"/>
              <w:bottom w:val="single" w:sz="8" w:space="0" w:color="FFFFFF"/>
              <w:right w:val="single" w:sz="8" w:space="0" w:color="FFFFFF"/>
            </w:tcBorders>
            <w:shd w:val="clear" w:color="auto" w:fill="auto"/>
            <w:vAlign w:val="center"/>
            <w:hideMark/>
          </w:tcPr>
          <w:p w14:paraId="498F7F34" w14:textId="7B8460C6"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I am satisf</w:t>
            </w:r>
            <w:r w:rsidR="00372CDC">
              <w:rPr>
                <w:rFonts w:ascii="Times New Roman" w:eastAsia="Times New Roman" w:hAnsi="Times New Roman" w:cs="Times New Roman"/>
                <w:color w:val="000000"/>
              </w:rPr>
              <w:t>i</w:t>
            </w:r>
            <w:r w:rsidRPr="005417E8">
              <w:rPr>
                <w:rFonts w:ascii="Times New Roman" w:eastAsia="Times New Roman" w:hAnsi="Times New Roman" w:cs="Times New Roman"/>
                <w:color w:val="000000"/>
              </w:rPr>
              <w:t>ed with the way e-commerce works to deliver information</w:t>
            </w:r>
          </w:p>
        </w:tc>
        <w:tc>
          <w:tcPr>
            <w:tcW w:w="878" w:type="dxa"/>
            <w:tcBorders>
              <w:top w:val="nil"/>
              <w:left w:val="nil"/>
              <w:bottom w:val="nil"/>
              <w:right w:val="nil"/>
            </w:tcBorders>
            <w:shd w:val="clear" w:color="auto" w:fill="auto"/>
            <w:noWrap/>
            <w:vAlign w:val="center"/>
            <w:hideMark/>
          </w:tcPr>
          <w:p w14:paraId="210FCAE1"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0.908</w:t>
            </w:r>
          </w:p>
        </w:tc>
        <w:tc>
          <w:tcPr>
            <w:tcW w:w="960" w:type="dxa"/>
            <w:tcBorders>
              <w:top w:val="nil"/>
              <w:left w:val="nil"/>
              <w:bottom w:val="nil"/>
              <w:right w:val="nil"/>
            </w:tcBorders>
            <w:shd w:val="clear" w:color="auto" w:fill="auto"/>
            <w:noWrap/>
            <w:vAlign w:val="center"/>
            <w:hideMark/>
          </w:tcPr>
          <w:p w14:paraId="75E6DD2C"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1072" w:type="dxa"/>
            <w:tcBorders>
              <w:top w:val="nil"/>
              <w:left w:val="nil"/>
              <w:bottom w:val="nil"/>
              <w:right w:val="nil"/>
            </w:tcBorders>
            <w:shd w:val="clear" w:color="auto" w:fill="auto"/>
            <w:noWrap/>
            <w:vAlign w:val="center"/>
            <w:hideMark/>
          </w:tcPr>
          <w:p w14:paraId="34BFCD1B" w14:textId="77777777" w:rsidR="005417E8" w:rsidRPr="005417E8" w:rsidRDefault="005417E8" w:rsidP="00937CB1">
            <w:pPr>
              <w:spacing w:after="0" w:line="240" w:lineRule="auto"/>
              <w:jc w:val="right"/>
              <w:rPr>
                <w:rFonts w:ascii="Times New Roman" w:eastAsia="Times New Roman" w:hAnsi="Times New Roman" w:cs="Times New Roman"/>
              </w:rPr>
            </w:pPr>
          </w:p>
        </w:tc>
      </w:tr>
      <w:tr w:rsidR="005417E8" w:rsidRPr="005417E8" w14:paraId="546A8956" w14:textId="77777777" w:rsidTr="00937CB1">
        <w:trPr>
          <w:trHeight w:val="324"/>
        </w:trPr>
        <w:tc>
          <w:tcPr>
            <w:tcW w:w="6227" w:type="dxa"/>
            <w:gridSpan w:val="2"/>
            <w:tcBorders>
              <w:top w:val="single" w:sz="8" w:space="0" w:color="FFFFFF"/>
              <w:left w:val="single" w:sz="8" w:space="0" w:color="FFFFFF"/>
              <w:bottom w:val="nil"/>
              <w:right w:val="nil"/>
            </w:tcBorders>
            <w:shd w:val="clear" w:color="auto" w:fill="auto"/>
            <w:vAlign w:val="center"/>
            <w:hideMark/>
          </w:tcPr>
          <w:p w14:paraId="6AD8D0BB" w14:textId="69479DFA"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Conf</w:t>
            </w:r>
            <w:r w:rsidR="00372CDC">
              <w:rPr>
                <w:rFonts w:ascii="Times New Roman" w:eastAsia="Times New Roman" w:hAnsi="Times New Roman" w:cs="Times New Roman"/>
                <w:color w:val="000000"/>
              </w:rPr>
              <w:t>i</w:t>
            </w:r>
            <w:r w:rsidRPr="005417E8">
              <w:rPr>
                <w:rFonts w:ascii="Times New Roman" w:eastAsia="Times New Roman" w:hAnsi="Times New Roman" w:cs="Times New Roman"/>
                <w:color w:val="000000"/>
              </w:rPr>
              <w:t>rmation of expectations (CE) -</w:t>
            </w:r>
            <w:r w:rsidR="00372CDC">
              <w:rPr>
                <w:rFonts w:ascii="Times New Roman" w:eastAsia="Times New Roman" w:hAnsi="Times New Roman" w:cs="Times New Roman"/>
                <w:color w:val="000000"/>
              </w:rPr>
              <w:t xml:space="preserve"> </w:t>
            </w:r>
            <w:r w:rsidR="00372CDC">
              <w:rPr>
                <w:rFonts w:ascii="Times New Roman" w:eastAsia="Times New Roman" w:hAnsi="Times New Roman" w:cs="Times New Roman"/>
                <w:color w:val="000000"/>
              </w:rPr>
              <w:fldChar w:fldCharType="begin" w:fldLock="1"/>
            </w:r>
            <w:r w:rsidR="00372CDC">
              <w:rPr>
                <w:rFonts w:ascii="Times New Roman" w:eastAsia="Times New Roman" w:hAnsi="Times New Roman" w:cs="Times New Roman"/>
                <w:color w:val="000000"/>
              </w:rPr>
              <w:instrText>ADDIN CSL_CITATION {"citationItems":[{"id":"ITEM-1","itemData":{"DOI":"10.2307/3250921","ISSN":"02767783","author":[{"dropping-particle":"","family":"Bhattacherjee","given":"Anol","non-dropping-particle":"","parse-names":false,"suffix":""}],"container-title":"MIS Quarterly","id":"ITEM-1","issue":"3","issued":{"date-parts":[["2001","9"]]},"page":"351","title":"Understanding Information Systems Continuance: An Expectation-Confirmation Model","type":"article-journal","volume":"25"},"uris":["http://www.mendeley.com/documents/?uuid=fb5493f6-ea0a-4de9-aae8-c97f93425c1c"]}],"mendeley":{"formattedCitation":"(Bhattacherjee, 2001)","plainTextFormattedCitation":"(Bhattacherjee, 2001)","previouslyFormattedCitation":"(Bhattacherjee, 2001)"},"properties":{"noteIndex":0},"schema":"https://github.com/citation-style-language/schema/raw/master/csl-citation.json"}</w:instrText>
            </w:r>
            <w:r w:rsidR="00372CDC">
              <w:rPr>
                <w:rFonts w:ascii="Times New Roman" w:eastAsia="Times New Roman" w:hAnsi="Times New Roman" w:cs="Times New Roman"/>
                <w:color w:val="000000"/>
              </w:rPr>
              <w:fldChar w:fldCharType="separate"/>
            </w:r>
            <w:r w:rsidR="00372CDC" w:rsidRPr="00372CDC">
              <w:rPr>
                <w:rFonts w:ascii="Times New Roman" w:eastAsia="Times New Roman" w:hAnsi="Times New Roman" w:cs="Times New Roman"/>
                <w:noProof/>
                <w:color w:val="000000"/>
              </w:rPr>
              <w:t>(Bhattacherjee, 2001)</w:t>
            </w:r>
            <w:r w:rsidR="00372CDC">
              <w:rPr>
                <w:rFonts w:ascii="Times New Roman" w:eastAsia="Times New Roman" w:hAnsi="Times New Roman" w:cs="Times New Roman"/>
                <w:color w:val="000000"/>
              </w:rPr>
              <w:fldChar w:fldCharType="end"/>
            </w:r>
            <w:r w:rsidR="00372CDC">
              <w:rPr>
                <w:rFonts w:ascii="Times New Roman" w:eastAsia="Times New Roman" w:hAnsi="Times New Roman" w:cs="Times New Roman"/>
                <w:color w:val="000000"/>
              </w:rPr>
              <w:t xml:space="preserve"> </w:t>
            </w:r>
          </w:p>
        </w:tc>
        <w:tc>
          <w:tcPr>
            <w:tcW w:w="878" w:type="dxa"/>
            <w:tcBorders>
              <w:top w:val="nil"/>
              <w:left w:val="nil"/>
              <w:bottom w:val="nil"/>
              <w:right w:val="nil"/>
            </w:tcBorders>
            <w:shd w:val="clear" w:color="auto" w:fill="auto"/>
            <w:noWrap/>
            <w:vAlign w:val="center"/>
            <w:hideMark/>
          </w:tcPr>
          <w:p w14:paraId="1ACC9517"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14:paraId="35805046"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0.828</w:t>
            </w:r>
          </w:p>
        </w:tc>
        <w:tc>
          <w:tcPr>
            <w:tcW w:w="1072" w:type="dxa"/>
            <w:tcBorders>
              <w:top w:val="nil"/>
              <w:left w:val="nil"/>
              <w:bottom w:val="nil"/>
              <w:right w:val="nil"/>
            </w:tcBorders>
            <w:shd w:val="clear" w:color="auto" w:fill="auto"/>
            <w:noWrap/>
            <w:vAlign w:val="center"/>
            <w:hideMark/>
          </w:tcPr>
          <w:p w14:paraId="16945AC2"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0.896</w:t>
            </w:r>
          </w:p>
        </w:tc>
      </w:tr>
      <w:tr w:rsidR="005417E8" w:rsidRPr="005417E8" w14:paraId="384402C7" w14:textId="77777777" w:rsidTr="00937CB1">
        <w:trPr>
          <w:trHeight w:val="324"/>
        </w:trPr>
        <w:tc>
          <w:tcPr>
            <w:tcW w:w="608" w:type="dxa"/>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16237F50"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CE1</w:t>
            </w:r>
          </w:p>
        </w:tc>
        <w:tc>
          <w:tcPr>
            <w:tcW w:w="5619" w:type="dxa"/>
            <w:tcBorders>
              <w:top w:val="single" w:sz="8" w:space="0" w:color="FFFFFF"/>
              <w:left w:val="nil"/>
              <w:bottom w:val="single" w:sz="8" w:space="0" w:color="FFFFFF"/>
              <w:right w:val="single" w:sz="8" w:space="0" w:color="FFFFFF"/>
            </w:tcBorders>
            <w:shd w:val="clear" w:color="auto" w:fill="auto"/>
            <w:vAlign w:val="center"/>
            <w:hideMark/>
          </w:tcPr>
          <w:p w14:paraId="6AD7D615"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the service potential of e-commerce is better than I expected.</w:t>
            </w:r>
          </w:p>
        </w:tc>
        <w:tc>
          <w:tcPr>
            <w:tcW w:w="878" w:type="dxa"/>
            <w:tcBorders>
              <w:top w:val="nil"/>
              <w:left w:val="nil"/>
              <w:bottom w:val="nil"/>
              <w:right w:val="nil"/>
            </w:tcBorders>
            <w:shd w:val="clear" w:color="auto" w:fill="auto"/>
            <w:noWrap/>
            <w:vAlign w:val="center"/>
            <w:hideMark/>
          </w:tcPr>
          <w:p w14:paraId="753CE268"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0.913</w:t>
            </w:r>
          </w:p>
        </w:tc>
        <w:tc>
          <w:tcPr>
            <w:tcW w:w="960" w:type="dxa"/>
            <w:tcBorders>
              <w:top w:val="nil"/>
              <w:left w:val="nil"/>
              <w:bottom w:val="nil"/>
              <w:right w:val="nil"/>
            </w:tcBorders>
            <w:shd w:val="clear" w:color="auto" w:fill="auto"/>
            <w:noWrap/>
            <w:vAlign w:val="center"/>
            <w:hideMark/>
          </w:tcPr>
          <w:p w14:paraId="3BC69682"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1072" w:type="dxa"/>
            <w:tcBorders>
              <w:top w:val="nil"/>
              <w:left w:val="nil"/>
              <w:bottom w:val="nil"/>
              <w:right w:val="nil"/>
            </w:tcBorders>
            <w:shd w:val="clear" w:color="auto" w:fill="auto"/>
            <w:noWrap/>
            <w:vAlign w:val="center"/>
            <w:hideMark/>
          </w:tcPr>
          <w:p w14:paraId="4C88D444" w14:textId="77777777" w:rsidR="005417E8" w:rsidRPr="005417E8" w:rsidRDefault="005417E8" w:rsidP="00937CB1">
            <w:pPr>
              <w:spacing w:after="0" w:line="240" w:lineRule="auto"/>
              <w:jc w:val="right"/>
              <w:rPr>
                <w:rFonts w:ascii="Times New Roman" w:eastAsia="Times New Roman" w:hAnsi="Times New Roman" w:cs="Times New Roman"/>
              </w:rPr>
            </w:pPr>
          </w:p>
        </w:tc>
      </w:tr>
      <w:tr w:rsidR="005417E8" w:rsidRPr="005417E8" w14:paraId="4CC68BA5" w14:textId="77777777" w:rsidTr="00937CB1">
        <w:trPr>
          <w:trHeight w:val="324"/>
        </w:trPr>
        <w:tc>
          <w:tcPr>
            <w:tcW w:w="608" w:type="dxa"/>
            <w:tcBorders>
              <w:top w:val="nil"/>
              <w:left w:val="single" w:sz="8" w:space="0" w:color="FFFFFF"/>
              <w:bottom w:val="single" w:sz="8" w:space="0" w:color="FFFFFF"/>
              <w:right w:val="single" w:sz="8" w:space="0" w:color="FFFFFF"/>
            </w:tcBorders>
            <w:shd w:val="clear" w:color="auto" w:fill="auto"/>
            <w:vAlign w:val="center"/>
            <w:hideMark/>
          </w:tcPr>
          <w:p w14:paraId="242B7079"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CE2</w:t>
            </w:r>
          </w:p>
        </w:tc>
        <w:tc>
          <w:tcPr>
            <w:tcW w:w="5619" w:type="dxa"/>
            <w:tcBorders>
              <w:top w:val="nil"/>
              <w:left w:val="nil"/>
              <w:bottom w:val="single" w:sz="8" w:space="0" w:color="FFFFFF"/>
              <w:right w:val="single" w:sz="8" w:space="0" w:color="FFFFFF"/>
            </w:tcBorders>
            <w:shd w:val="clear" w:color="auto" w:fill="auto"/>
            <w:vAlign w:val="center"/>
            <w:hideMark/>
          </w:tcPr>
          <w:p w14:paraId="3186A62D"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 xml:space="preserve">e-commerce saves time in my personal </w:t>
            </w:r>
          </w:p>
        </w:tc>
        <w:tc>
          <w:tcPr>
            <w:tcW w:w="878" w:type="dxa"/>
            <w:tcBorders>
              <w:top w:val="nil"/>
              <w:left w:val="nil"/>
              <w:bottom w:val="nil"/>
              <w:right w:val="nil"/>
            </w:tcBorders>
            <w:shd w:val="clear" w:color="auto" w:fill="auto"/>
            <w:noWrap/>
            <w:vAlign w:val="center"/>
            <w:hideMark/>
          </w:tcPr>
          <w:p w14:paraId="15A1EC7C"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0.899</w:t>
            </w:r>
          </w:p>
        </w:tc>
        <w:tc>
          <w:tcPr>
            <w:tcW w:w="960" w:type="dxa"/>
            <w:tcBorders>
              <w:top w:val="nil"/>
              <w:left w:val="nil"/>
              <w:bottom w:val="nil"/>
              <w:right w:val="nil"/>
            </w:tcBorders>
            <w:shd w:val="clear" w:color="auto" w:fill="auto"/>
            <w:noWrap/>
            <w:vAlign w:val="center"/>
            <w:hideMark/>
          </w:tcPr>
          <w:p w14:paraId="7FFA063E"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1072" w:type="dxa"/>
            <w:tcBorders>
              <w:top w:val="nil"/>
              <w:left w:val="nil"/>
              <w:bottom w:val="nil"/>
              <w:right w:val="nil"/>
            </w:tcBorders>
            <w:shd w:val="clear" w:color="auto" w:fill="auto"/>
            <w:noWrap/>
            <w:vAlign w:val="center"/>
            <w:hideMark/>
          </w:tcPr>
          <w:p w14:paraId="35CE7761" w14:textId="77777777" w:rsidR="005417E8" w:rsidRPr="005417E8" w:rsidRDefault="005417E8" w:rsidP="00937CB1">
            <w:pPr>
              <w:spacing w:after="0" w:line="240" w:lineRule="auto"/>
              <w:jc w:val="right"/>
              <w:rPr>
                <w:rFonts w:ascii="Times New Roman" w:eastAsia="Times New Roman" w:hAnsi="Times New Roman" w:cs="Times New Roman"/>
              </w:rPr>
            </w:pPr>
          </w:p>
        </w:tc>
      </w:tr>
      <w:tr w:rsidR="005417E8" w:rsidRPr="005417E8" w14:paraId="59686267" w14:textId="77777777" w:rsidTr="00937CB1">
        <w:trPr>
          <w:trHeight w:val="324"/>
        </w:trPr>
        <w:tc>
          <w:tcPr>
            <w:tcW w:w="608" w:type="dxa"/>
            <w:tcBorders>
              <w:top w:val="nil"/>
              <w:left w:val="single" w:sz="8" w:space="0" w:color="FFFFFF"/>
              <w:bottom w:val="single" w:sz="8" w:space="0" w:color="FFFFFF"/>
              <w:right w:val="single" w:sz="8" w:space="0" w:color="FFFFFF"/>
            </w:tcBorders>
            <w:shd w:val="clear" w:color="auto" w:fill="auto"/>
            <w:vAlign w:val="center"/>
            <w:hideMark/>
          </w:tcPr>
          <w:p w14:paraId="77E816C0"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CE3</w:t>
            </w:r>
          </w:p>
        </w:tc>
        <w:tc>
          <w:tcPr>
            <w:tcW w:w="5619" w:type="dxa"/>
            <w:tcBorders>
              <w:top w:val="nil"/>
              <w:left w:val="nil"/>
              <w:bottom w:val="single" w:sz="8" w:space="0" w:color="FFFFFF"/>
              <w:right w:val="single" w:sz="8" w:space="0" w:color="FFFFFF"/>
            </w:tcBorders>
            <w:shd w:val="clear" w:color="auto" w:fill="auto"/>
            <w:vAlign w:val="center"/>
            <w:hideMark/>
          </w:tcPr>
          <w:p w14:paraId="1DBDAD7A" w14:textId="2BE9A83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Overall, most of my expectations f</w:t>
            </w:r>
            <w:r w:rsidR="00372CDC">
              <w:rPr>
                <w:rFonts w:ascii="Times New Roman" w:eastAsia="Times New Roman" w:hAnsi="Times New Roman" w:cs="Times New Roman"/>
                <w:color w:val="000000"/>
              </w:rPr>
              <w:t>or using e-commerce platforms were confi</w:t>
            </w:r>
            <w:r w:rsidRPr="005417E8">
              <w:rPr>
                <w:rFonts w:ascii="Times New Roman" w:eastAsia="Times New Roman" w:hAnsi="Times New Roman" w:cs="Times New Roman"/>
                <w:color w:val="000000"/>
              </w:rPr>
              <w:t>rmed.</w:t>
            </w:r>
          </w:p>
        </w:tc>
        <w:tc>
          <w:tcPr>
            <w:tcW w:w="878" w:type="dxa"/>
            <w:tcBorders>
              <w:top w:val="nil"/>
              <w:left w:val="nil"/>
              <w:bottom w:val="nil"/>
              <w:right w:val="nil"/>
            </w:tcBorders>
            <w:shd w:val="clear" w:color="auto" w:fill="auto"/>
            <w:noWrap/>
            <w:vAlign w:val="center"/>
            <w:hideMark/>
          </w:tcPr>
          <w:p w14:paraId="10B4E030"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0.917</w:t>
            </w:r>
          </w:p>
        </w:tc>
        <w:tc>
          <w:tcPr>
            <w:tcW w:w="960" w:type="dxa"/>
            <w:tcBorders>
              <w:top w:val="nil"/>
              <w:left w:val="nil"/>
              <w:bottom w:val="nil"/>
              <w:right w:val="nil"/>
            </w:tcBorders>
            <w:shd w:val="clear" w:color="auto" w:fill="auto"/>
            <w:noWrap/>
            <w:vAlign w:val="center"/>
            <w:hideMark/>
          </w:tcPr>
          <w:p w14:paraId="06095421"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1072" w:type="dxa"/>
            <w:tcBorders>
              <w:top w:val="nil"/>
              <w:left w:val="nil"/>
              <w:bottom w:val="nil"/>
              <w:right w:val="nil"/>
            </w:tcBorders>
            <w:shd w:val="clear" w:color="auto" w:fill="auto"/>
            <w:noWrap/>
            <w:vAlign w:val="center"/>
            <w:hideMark/>
          </w:tcPr>
          <w:p w14:paraId="2EED1C6E" w14:textId="77777777" w:rsidR="005417E8" w:rsidRPr="005417E8" w:rsidRDefault="005417E8" w:rsidP="00937CB1">
            <w:pPr>
              <w:spacing w:after="0" w:line="240" w:lineRule="auto"/>
              <w:jc w:val="right"/>
              <w:rPr>
                <w:rFonts w:ascii="Times New Roman" w:eastAsia="Times New Roman" w:hAnsi="Times New Roman" w:cs="Times New Roman"/>
              </w:rPr>
            </w:pPr>
          </w:p>
        </w:tc>
      </w:tr>
      <w:tr w:rsidR="005417E8" w:rsidRPr="005417E8" w14:paraId="296529FE" w14:textId="77777777" w:rsidTr="00937CB1">
        <w:trPr>
          <w:trHeight w:val="324"/>
        </w:trPr>
        <w:tc>
          <w:tcPr>
            <w:tcW w:w="6227" w:type="dxa"/>
            <w:gridSpan w:val="2"/>
            <w:tcBorders>
              <w:top w:val="single" w:sz="8" w:space="0" w:color="FFFFFF"/>
              <w:left w:val="single" w:sz="8" w:space="0" w:color="FFFFFF"/>
              <w:bottom w:val="nil"/>
              <w:right w:val="nil"/>
            </w:tcBorders>
            <w:shd w:val="clear" w:color="auto" w:fill="auto"/>
            <w:vAlign w:val="center"/>
            <w:hideMark/>
          </w:tcPr>
          <w:p w14:paraId="1493FD56" w14:textId="407385B2"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Privacy Cynicism -</w:t>
            </w:r>
            <w:r w:rsidR="00372CDC">
              <w:rPr>
                <w:rFonts w:ascii="Times New Roman" w:eastAsia="Times New Roman" w:hAnsi="Times New Roman" w:cs="Times New Roman"/>
                <w:color w:val="000000"/>
              </w:rPr>
              <w:t xml:space="preserve"> </w:t>
            </w:r>
            <w:r w:rsidR="00372CDC">
              <w:rPr>
                <w:rFonts w:ascii="Times New Roman" w:eastAsia="Times New Roman" w:hAnsi="Times New Roman" w:cs="Times New Roman"/>
                <w:color w:val="000000"/>
              </w:rPr>
              <w:fldChar w:fldCharType="begin" w:fldLock="1"/>
            </w:r>
            <w:r w:rsidR="00372CDC">
              <w:rPr>
                <w:rFonts w:ascii="Times New Roman" w:eastAsia="Times New Roman" w:hAnsi="Times New Roman" w:cs="Times New Roman"/>
                <w:color w:val="000000"/>
              </w:rPr>
              <w:instrText>ADDIN CSL_CITATION {"citationItems":[{"id":"ITEM-1","itemData":{"DOI":"10.5817/cp2016-4-7","abstract":"Abstract","author":[{"dropping-particle":"","family":"Hoffmann","given":"Christian","non-dropping-particle":"","parse-names":false,"suffix":""},{"dropping-particle":"","family":"Lutz","given":"Christoph","non-dropping-particle":"","parse-names":false,"suffix":""},{"dropping-particle":"","family":"Ranzini","given":"Giulia","non-dropping-particle":"","parse-names":false,"suffix":""}],"container-title":"Cyberpsychology Journal of Psychosocial Research on Cyberspace","id":"ITEM-1","issued":{"date-parts":[["2016"]]},"title":"Privacy Cynicism: A New Approach to the Privacy Paradox","type":"article-journal"},"uris":["http://www.mendeley.com/documents/?uuid=cc941243-eb1e-4aeb-a609-782e0d73ce31"]}],"mendeley":{"formattedCitation":"(C. Hoffmann et al., 2016)","manualFormatting":"(Hoffmann et al., 2016)","plainTextFormattedCitation":"(C. Hoffmann et al., 2016)","previouslyFormattedCitation":"(C. Hoffmann et al., 2016)"},"properties":{"noteIndex":0},"schema":"https://github.com/citation-style-language/schema/raw/master/csl-citation.json"}</w:instrText>
            </w:r>
            <w:r w:rsidR="00372CDC">
              <w:rPr>
                <w:rFonts w:ascii="Times New Roman" w:eastAsia="Times New Roman" w:hAnsi="Times New Roman" w:cs="Times New Roman"/>
                <w:color w:val="000000"/>
              </w:rPr>
              <w:fldChar w:fldCharType="separate"/>
            </w:r>
            <w:r w:rsidR="00372CDC" w:rsidRPr="00372CDC">
              <w:rPr>
                <w:rFonts w:ascii="Times New Roman" w:eastAsia="Times New Roman" w:hAnsi="Times New Roman" w:cs="Times New Roman"/>
                <w:noProof/>
                <w:color w:val="000000"/>
              </w:rPr>
              <w:t>(Hoffmann et al., 2016)</w:t>
            </w:r>
            <w:r w:rsidR="00372CDC">
              <w:rPr>
                <w:rFonts w:ascii="Times New Roman" w:eastAsia="Times New Roman" w:hAnsi="Times New Roman" w:cs="Times New Roman"/>
                <w:color w:val="000000"/>
              </w:rPr>
              <w:fldChar w:fldCharType="end"/>
            </w:r>
            <w:r w:rsidRPr="005417E8">
              <w:rPr>
                <w:rFonts w:ascii="Times New Roman" w:eastAsia="Times New Roman" w:hAnsi="Times New Roman" w:cs="Times New Roman"/>
                <w:color w:val="000000"/>
              </w:rPr>
              <w:t xml:space="preserve"> </w:t>
            </w:r>
          </w:p>
        </w:tc>
        <w:tc>
          <w:tcPr>
            <w:tcW w:w="878" w:type="dxa"/>
            <w:tcBorders>
              <w:top w:val="nil"/>
              <w:left w:val="nil"/>
              <w:bottom w:val="nil"/>
              <w:right w:val="nil"/>
            </w:tcBorders>
            <w:shd w:val="clear" w:color="auto" w:fill="auto"/>
            <w:noWrap/>
            <w:vAlign w:val="center"/>
            <w:hideMark/>
          </w:tcPr>
          <w:p w14:paraId="0C6A7FA5"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14:paraId="6CAFA7A4"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0.796</w:t>
            </w:r>
          </w:p>
        </w:tc>
        <w:tc>
          <w:tcPr>
            <w:tcW w:w="1072" w:type="dxa"/>
            <w:tcBorders>
              <w:top w:val="nil"/>
              <w:left w:val="nil"/>
              <w:bottom w:val="nil"/>
              <w:right w:val="nil"/>
            </w:tcBorders>
            <w:shd w:val="clear" w:color="auto" w:fill="auto"/>
            <w:noWrap/>
            <w:vAlign w:val="center"/>
            <w:hideMark/>
          </w:tcPr>
          <w:p w14:paraId="29BF4274"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0.914</w:t>
            </w:r>
          </w:p>
        </w:tc>
      </w:tr>
      <w:tr w:rsidR="005417E8" w:rsidRPr="005417E8" w14:paraId="1500250C" w14:textId="77777777" w:rsidTr="00937CB1">
        <w:trPr>
          <w:trHeight w:val="324"/>
        </w:trPr>
        <w:tc>
          <w:tcPr>
            <w:tcW w:w="608" w:type="dxa"/>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2908C48D"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PC1</w:t>
            </w:r>
          </w:p>
        </w:tc>
        <w:tc>
          <w:tcPr>
            <w:tcW w:w="5619" w:type="dxa"/>
            <w:tcBorders>
              <w:top w:val="single" w:sz="8" w:space="0" w:color="FFFFFF"/>
              <w:left w:val="nil"/>
              <w:bottom w:val="single" w:sz="8" w:space="0" w:color="FFFFFF"/>
              <w:right w:val="single" w:sz="8" w:space="0" w:color="FFFFFF"/>
            </w:tcBorders>
            <w:shd w:val="clear" w:color="auto" w:fill="auto"/>
            <w:vAlign w:val="center"/>
            <w:hideMark/>
          </w:tcPr>
          <w:p w14:paraId="50690F71"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I have become less interested in online privacy issues.</w:t>
            </w:r>
          </w:p>
        </w:tc>
        <w:tc>
          <w:tcPr>
            <w:tcW w:w="878" w:type="dxa"/>
            <w:tcBorders>
              <w:top w:val="nil"/>
              <w:left w:val="nil"/>
              <w:bottom w:val="nil"/>
              <w:right w:val="nil"/>
            </w:tcBorders>
            <w:shd w:val="clear" w:color="auto" w:fill="auto"/>
            <w:noWrap/>
            <w:vAlign w:val="center"/>
            <w:hideMark/>
          </w:tcPr>
          <w:p w14:paraId="6982410F"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0.898</w:t>
            </w:r>
          </w:p>
        </w:tc>
        <w:tc>
          <w:tcPr>
            <w:tcW w:w="960" w:type="dxa"/>
            <w:tcBorders>
              <w:top w:val="nil"/>
              <w:left w:val="nil"/>
              <w:bottom w:val="nil"/>
              <w:right w:val="nil"/>
            </w:tcBorders>
            <w:shd w:val="clear" w:color="auto" w:fill="auto"/>
            <w:noWrap/>
            <w:vAlign w:val="center"/>
            <w:hideMark/>
          </w:tcPr>
          <w:p w14:paraId="4506C294"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1072" w:type="dxa"/>
            <w:tcBorders>
              <w:top w:val="nil"/>
              <w:left w:val="nil"/>
              <w:bottom w:val="nil"/>
              <w:right w:val="nil"/>
            </w:tcBorders>
            <w:shd w:val="clear" w:color="auto" w:fill="auto"/>
            <w:noWrap/>
            <w:vAlign w:val="center"/>
            <w:hideMark/>
          </w:tcPr>
          <w:p w14:paraId="2F637159" w14:textId="77777777" w:rsidR="005417E8" w:rsidRPr="005417E8" w:rsidRDefault="005417E8" w:rsidP="00937CB1">
            <w:pPr>
              <w:spacing w:after="0" w:line="240" w:lineRule="auto"/>
              <w:jc w:val="right"/>
              <w:rPr>
                <w:rFonts w:ascii="Times New Roman" w:eastAsia="Times New Roman" w:hAnsi="Times New Roman" w:cs="Times New Roman"/>
              </w:rPr>
            </w:pPr>
          </w:p>
        </w:tc>
      </w:tr>
      <w:tr w:rsidR="005417E8" w:rsidRPr="005417E8" w14:paraId="724F0FCE" w14:textId="77777777" w:rsidTr="00937CB1">
        <w:trPr>
          <w:trHeight w:val="324"/>
        </w:trPr>
        <w:tc>
          <w:tcPr>
            <w:tcW w:w="608" w:type="dxa"/>
            <w:tcBorders>
              <w:top w:val="nil"/>
              <w:left w:val="single" w:sz="8" w:space="0" w:color="FFFFFF"/>
              <w:bottom w:val="single" w:sz="8" w:space="0" w:color="FFFFFF"/>
              <w:right w:val="single" w:sz="8" w:space="0" w:color="FFFFFF"/>
            </w:tcBorders>
            <w:shd w:val="clear" w:color="auto" w:fill="auto"/>
            <w:vAlign w:val="center"/>
            <w:hideMark/>
          </w:tcPr>
          <w:p w14:paraId="4199FC4D"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PC2</w:t>
            </w:r>
          </w:p>
        </w:tc>
        <w:tc>
          <w:tcPr>
            <w:tcW w:w="5619" w:type="dxa"/>
            <w:tcBorders>
              <w:top w:val="nil"/>
              <w:left w:val="nil"/>
              <w:bottom w:val="single" w:sz="8" w:space="0" w:color="FFFFFF"/>
              <w:right w:val="single" w:sz="8" w:space="0" w:color="FFFFFF"/>
            </w:tcBorders>
            <w:shd w:val="clear" w:color="auto" w:fill="auto"/>
            <w:vAlign w:val="center"/>
            <w:hideMark/>
          </w:tcPr>
          <w:p w14:paraId="4B70DFA0"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I have become less enthusiastic about protecting personal information provided to online vendors.</w:t>
            </w:r>
          </w:p>
        </w:tc>
        <w:tc>
          <w:tcPr>
            <w:tcW w:w="878" w:type="dxa"/>
            <w:tcBorders>
              <w:top w:val="nil"/>
              <w:left w:val="nil"/>
              <w:bottom w:val="nil"/>
              <w:right w:val="nil"/>
            </w:tcBorders>
            <w:shd w:val="clear" w:color="auto" w:fill="auto"/>
            <w:noWrap/>
            <w:vAlign w:val="center"/>
            <w:hideMark/>
          </w:tcPr>
          <w:p w14:paraId="443FEC2B"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0.88</w:t>
            </w:r>
          </w:p>
        </w:tc>
        <w:tc>
          <w:tcPr>
            <w:tcW w:w="960" w:type="dxa"/>
            <w:tcBorders>
              <w:top w:val="nil"/>
              <w:left w:val="nil"/>
              <w:bottom w:val="nil"/>
              <w:right w:val="nil"/>
            </w:tcBorders>
            <w:shd w:val="clear" w:color="auto" w:fill="auto"/>
            <w:noWrap/>
            <w:vAlign w:val="center"/>
            <w:hideMark/>
          </w:tcPr>
          <w:p w14:paraId="63540ECD"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1072" w:type="dxa"/>
            <w:tcBorders>
              <w:top w:val="nil"/>
              <w:left w:val="nil"/>
              <w:bottom w:val="nil"/>
              <w:right w:val="nil"/>
            </w:tcBorders>
            <w:shd w:val="clear" w:color="auto" w:fill="auto"/>
            <w:noWrap/>
            <w:vAlign w:val="center"/>
            <w:hideMark/>
          </w:tcPr>
          <w:p w14:paraId="2AC8BEDE" w14:textId="77777777" w:rsidR="005417E8" w:rsidRPr="005417E8" w:rsidRDefault="005417E8" w:rsidP="00937CB1">
            <w:pPr>
              <w:spacing w:after="0" w:line="240" w:lineRule="auto"/>
              <w:jc w:val="right"/>
              <w:rPr>
                <w:rFonts w:ascii="Times New Roman" w:eastAsia="Times New Roman" w:hAnsi="Times New Roman" w:cs="Times New Roman"/>
              </w:rPr>
            </w:pPr>
          </w:p>
        </w:tc>
      </w:tr>
      <w:tr w:rsidR="005417E8" w:rsidRPr="005417E8" w14:paraId="0F06AC90" w14:textId="77777777" w:rsidTr="00937CB1">
        <w:trPr>
          <w:trHeight w:val="324"/>
        </w:trPr>
        <w:tc>
          <w:tcPr>
            <w:tcW w:w="608" w:type="dxa"/>
            <w:tcBorders>
              <w:top w:val="nil"/>
              <w:left w:val="single" w:sz="8" w:space="0" w:color="FFFFFF"/>
              <w:bottom w:val="single" w:sz="8" w:space="0" w:color="FFFFFF"/>
              <w:right w:val="single" w:sz="8" w:space="0" w:color="FFFFFF"/>
            </w:tcBorders>
            <w:shd w:val="clear" w:color="auto" w:fill="auto"/>
            <w:vAlign w:val="center"/>
            <w:hideMark/>
          </w:tcPr>
          <w:p w14:paraId="5E1E44C6"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PC3</w:t>
            </w:r>
          </w:p>
        </w:tc>
        <w:tc>
          <w:tcPr>
            <w:tcW w:w="5619" w:type="dxa"/>
            <w:tcBorders>
              <w:top w:val="nil"/>
              <w:left w:val="nil"/>
              <w:bottom w:val="single" w:sz="8" w:space="0" w:color="FFFFFF"/>
              <w:right w:val="single" w:sz="8" w:space="0" w:color="FFFFFF"/>
            </w:tcBorders>
            <w:shd w:val="clear" w:color="auto" w:fill="auto"/>
            <w:vAlign w:val="center"/>
            <w:hideMark/>
          </w:tcPr>
          <w:p w14:paraId="4A415258" w14:textId="4CC99A70"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 xml:space="preserve">I </w:t>
            </w:r>
            <w:r w:rsidR="00372CDC">
              <w:rPr>
                <w:rFonts w:ascii="Times New Roman" w:eastAsia="Times New Roman" w:hAnsi="Times New Roman" w:cs="Times New Roman"/>
                <w:color w:val="000000"/>
              </w:rPr>
              <w:t>often doubt the significance of online privacy issues</w:t>
            </w:r>
            <w:r w:rsidRPr="005417E8">
              <w:rPr>
                <w:rFonts w:ascii="Times New Roman" w:eastAsia="Times New Roman" w:hAnsi="Times New Roman" w:cs="Times New Roman"/>
                <w:color w:val="000000"/>
              </w:rPr>
              <w:t>.</w:t>
            </w:r>
          </w:p>
        </w:tc>
        <w:tc>
          <w:tcPr>
            <w:tcW w:w="878" w:type="dxa"/>
            <w:tcBorders>
              <w:top w:val="nil"/>
              <w:left w:val="nil"/>
              <w:bottom w:val="nil"/>
              <w:right w:val="nil"/>
            </w:tcBorders>
            <w:shd w:val="clear" w:color="auto" w:fill="auto"/>
            <w:noWrap/>
            <w:vAlign w:val="center"/>
            <w:hideMark/>
          </w:tcPr>
          <w:p w14:paraId="4700E1D2"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0.887</w:t>
            </w:r>
          </w:p>
        </w:tc>
        <w:tc>
          <w:tcPr>
            <w:tcW w:w="960" w:type="dxa"/>
            <w:tcBorders>
              <w:top w:val="nil"/>
              <w:left w:val="nil"/>
              <w:bottom w:val="nil"/>
              <w:right w:val="nil"/>
            </w:tcBorders>
            <w:shd w:val="clear" w:color="auto" w:fill="auto"/>
            <w:noWrap/>
            <w:vAlign w:val="center"/>
            <w:hideMark/>
          </w:tcPr>
          <w:p w14:paraId="07E405B1"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1072" w:type="dxa"/>
            <w:tcBorders>
              <w:top w:val="nil"/>
              <w:left w:val="nil"/>
              <w:bottom w:val="nil"/>
              <w:right w:val="nil"/>
            </w:tcBorders>
            <w:shd w:val="clear" w:color="auto" w:fill="auto"/>
            <w:noWrap/>
            <w:vAlign w:val="center"/>
            <w:hideMark/>
          </w:tcPr>
          <w:p w14:paraId="51BB06F4" w14:textId="77777777" w:rsidR="005417E8" w:rsidRPr="005417E8" w:rsidRDefault="005417E8" w:rsidP="00937CB1">
            <w:pPr>
              <w:spacing w:after="0" w:line="240" w:lineRule="auto"/>
              <w:jc w:val="right"/>
              <w:rPr>
                <w:rFonts w:ascii="Times New Roman" w:eastAsia="Times New Roman" w:hAnsi="Times New Roman" w:cs="Times New Roman"/>
              </w:rPr>
            </w:pPr>
          </w:p>
        </w:tc>
      </w:tr>
      <w:tr w:rsidR="005417E8" w:rsidRPr="005417E8" w14:paraId="14FC05A8" w14:textId="77777777" w:rsidTr="00937CB1">
        <w:trPr>
          <w:trHeight w:val="360"/>
        </w:trPr>
        <w:tc>
          <w:tcPr>
            <w:tcW w:w="608" w:type="dxa"/>
            <w:tcBorders>
              <w:top w:val="nil"/>
              <w:left w:val="single" w:sz="8" w:space="0" w:color="FFFFFF"/>
              <w:bottom w:val="single" w:sz="8" w:space="0" w:color="FFFFFF"/>
              <w:right w:val="single" w:sz="8" w:space="0" w:color="FFFFFF"/>
            </w:tcBorders>
            <w:shd w:val="clear" w:color="auto" w:fill="auto"/>
            <w:vAlign w:val="center"/>
            <w:hideMark/>
          </w:tcPr>
          <w:p w14:paraId="0E16D5B3"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PC4</w:t>
            </w:r>
          </w:p>
        </w:tc>
        <w:tc>
          <w:tcPr>
            <w:tcW w:w="5619" w:type="dxa"/>
            <w:tcBorders>
              <w:top w:val="nil"/>
              <w:left w:val="nil"/>
              <w:bottom w:val="single" w:sz="8" w:space="0" w:color="FFFFFF"/>
              <w:right w:val="single" w:sz="8" w:space="0" w:color="FFFFFF"/>
            </w:tcBorders>
            <w:shd w:val="clear" w:color="auto" w:fill="auto"/>
            <w:vAlign w:val="center"/>
            <w:hideMark/>
          </w:tcPr>
          <w:p w14:paraId="1D10EF26"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I have become more cynical about whether my efforts in protecting online privacy are in any way effective.</w:t>
            </w:r>
          </w:p>
        </w:tc>
        <w:tc>
          <w:tcPr>
            <w:tcW w:w="878" w:type="dxa"/>
            <w:tcBorders>
              <w:top w:val="nil"/>
              <w:left w:val="nil"/>
              <w:bottom w:val="nil"/>
              <w:right w:val="nil"/>
            </w:tcBorders>
            <w:shd w:val="clear" w:color="auto" w:fill="auto"/>
            <w:noWrap/>
            <w:vAlign w:val="center"/>
            <w:hideMark/>
          </w:tcPr>
          <w:p w14:paraId="2DB34458"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0.903</w:t>
            </w:r>
          </w:p>
        </w:tc>
        <w:tc>
          <w:tcPr>
            <w:tcW w:w="960" w:type="dxa"/>
            <w:tcBorders>
              <w:top w:val="nil"/>
              <w:left w:val="nil"/>
              <w:bottom w:val="nil"/>
              <w:right w:val="nil"/>
            </w:tcBorders>
            <w:shd w:val="clear" w:color="auto" w:fill="auto"/>
            <w:noWrap/>
            <w:vAlign w:val="center"/>
            <w:hideMark/>
          </w:tcPr>
          <w:p w14:paraId="5151BF02"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1072" w:type="dxa"/>
            <w:tcBorders>
              <w:top w:val="nil"/>
              <w:left w:val="nil"/>
              <w:bottom w:val="nil"/>
              <w:right w:val="nil"/>
            </w:tcBorders>
            <w:shd w:val="clear" w:color="auto" w:fill="auto"/>
            <w:noWrap/>
            <w:vAlign w:val="center"/>
            <w:hideMark/>
          </w:tcPr>
          <w:p w14:paraId="48197DCD" w14:textId="77777777" w:rsidR="005417E8" w:rsidRPr="005417E8" w:rsidRDefault="005417E8" w:rsidP="00937CB1">
            <w:pPr>
              <w:spacing w:after="0" w:line="240" w:lineRule="auto"/>
              <w:jc w:val="right"/>
              <w:rPr>
                <w:rFonts w:ascii="Times New Roman" w:eastAsia="Times New Roman" w:hAnsi="Times New Roman" w:cs="Times New Roman"/>
              </w:rPr>
            </w:pPr>
          </w:p>
        </w:tc>
      </w:tr>
      <w:tr w:rsidR="005417E8" w:rsidRPr="005417E8" w14:paraId="7EB26F27" w14:textId="77777777" w:rsidTr="00937CB1">
        <w:trPr>
          <w:trHeight w:val="324"/>
        </w:trPr>
        <w:tc>
          <w:tcPr>
            <w:tcW w:w="6227" w:type="dxa"/>
            <w:gridSpan w:val="2"/>
            <w:tcBorders>
              <w:top w:val="single" w:sz="8" w:space="0" w:color="FFFFFF"/>
              <w:left w:val="single" w:sz="8" w:space="0" w:color="FFFFFF"/>
              <w:bottom w:val="single" w:sz="8" w:space="0" w:color="FFFFFF"/>
              <w:right w:val="nil"/>
            </w:tcBorders>
            <w:shd w:val="clear" w:color="auto" w:fill="auto"/>
            <w:vAlign w:val="center"/>
            <w:hideMark/>
          </w:tcPr>
          <w:p w14:paraId="2371ABE4" w14:textId="0E20E20C"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Trust -</w:t>
            </w:r>
            <w:r w:rsidR="00372CDC">
              <w:rPr>
                <w:rFonts w:ascii="Times New Roman" w:eastAsia="Times New Roman" w:hAnsi="Times New Roman" w:cs="Times New Roman"/>
                <w:color w:val="000000"/>
              </w:rPr>
              <w:t xml:space="preserve"> </w:t>
            </w:r>
            <w:r w:rsidR="00372CDC">
              <w:rPr>
                <w:rFonts w:ascii="Times New Roman" w:eastAsia="Times New Roman" w:hAnsi="Times New Roman" w:cs="Times New Roman"/>
                <w:color w:val="000000"/>
              </w:rPr>
              <w:fldChar w:fldCharType="begin" w:fldLock="1"/>
            </w:r>
            <w:r w:rsidR="006243B6">
              <w:rPr>
                <w:rFonts w:ascii="Times New Roman" w:eastAsia="Times New Roman" w:hAnsi="Times New Roman" w:cs="Times New Roman"/>
                <w:color w:val="000000"/>
              </w:rPr>
              <w:instrText>ADDIN CSL_CITATION {"citationItems":[{"id":"ITEM-1","itemData":{"DOI":"10.1007/s10796-011-9335-8","ISSN":"13873326","abstract":"In this research the authors examine member self-disclosure phenomenon at social networking sites. Self-disclosure enables member interactions, service customizations, and digital content generation and hence self-disclosure is imperative to the success of social networking sites. Drawing upon Social Capital Theory, we develop a succinct research model that examines the role of relational capitals in member disclosure behavior. This model also investigates the intricate relationships among relational capitals such as trust, reciprocity, and identification. This researchmodel has been validated through survey data collected from 222 social networking site users and the analysis results provide strong support to the hypothesized relationships. The current study generates new knowledge on the exact role of relational capitals in sustaining social networking sites and it also informs the service providers of social networks to identify strategies that promote member disclosure. © Springer Science+Business Media, LLC 2011.","author":[{"dropping-particle":"","family":"Chen","given":"Rui","non-dropping-particle":"","parse-names":false,"suffix":""},{"dropping-particle":"","family":"Sharma","given":"Sushil K.","non-dropping-particle":"","parse-names":false,"suffix":""}],"container-title":"Information Systems Frontiers","id":"ITEM-1","issue":"2","issued":{"date-parts":[["2013"]]},"page":"269-278","title":"Self-disclosure at social networking sites: An exploration through relational capitals","type":"article-journal","volume":"15"},"uris":["http://www.mendeley.com/documents/?uuid=702f7d64-7b05-431b-a9eb-b156d50579ca"]}],"mendeley":{"formattedCitation":"(Chen &amp; Sharma, 2013)","plainTextFormattedCitation":"(Chen &amp; Sharma, 2013)","previouslyFormattedCitation":"(Chen &amp; Sharma, 2013)"},"properties":{"noteIndex":0},"schema":"https://github.com/citation-style-language/schema/raw/master/csl-citation.json"}</w:instrText>
            </w:r>
            <w:r w:rsidR="00372CDC">
              <w:rPr>
                <w:rFonts w:ascii="Times New Roman" w:eastAsia="Times New Roman" w:hAnsi="Times New Roman" w:cs="Times New Roman"/>
                <w:color w:val="000000"/>
              </w:rPr>
              <w:fldChar w:fldCharType="separate"/>
            </w:r>
            <w:r w:rsidR="00372CDC" w:rsidRPr="00372CDC">
              <w:rPr>
                <w:rFonts w:ascii="Times New Roman" w:eastAsia="Times New Roman" w:hAnsi="Times New Roman" w:cs="Times New Roman"/>
                <w:noProof/>
                <w:color w:val="000000"/>
              </w:rPr>
              <w:t>(Chen &amp; Sharma, 2013)</w:t>
            </w:r>
            <w:r w:rsidR="00372CDC">
              <w:rPr>
                <w:rFonts w:ascii="Times New Roman" w:eastAsia="Times New Roman" w:hAnsi="Times New Roman" w:cs="Times New Roman"/>
                <w:color w:val="000000"/>
              </w:rPr>
              <w:fldChar w:fldCharType="end"/>
            </w:r>
          </w:p>
        </w:tc>
        <w:tc>
          <w:tcPr>
            <w:tcW w:w="878" w:type="dxa"/>
            <w:tcBorders>
              <w:top w:val="nil"/>
              <w:left w:val="nil"/>
              <w:bottom w:val="nil"/>
              <w:right w:val="nil"/>
            </w:tcBorders>
            <w:shd w:val="clear" w:color="auto" w:fill="auto"/>
            <w:noWrap/>
            <w:vAlign w:val="center"/>
            <w:hideMark/>
          </w:tcPr>
          <w:p w14:paraId="5ADC0399"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14:paraId="4582E025"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0.769</w:t>
            </w:r>
          </w:p>
        </w:tc>
        <w:tc>
          <w:tcPr>
            <w:tcW w:w="1072" w:type="dxa"/>
            <w:tcBorders>
              <w:top w:val="nil"/>
              <w:left w:val="nil"/>
              <w:bottom w:val="nil"/>
              <w:right w:val="nil"/>
            </w:tcBorders>
            <w:shd w:val="clear" w:color="auto" w:fill="auto"/>
            <w:noWrap/>
            <w:vAlign w:val="center"/>
            <w:hideMark/>
          </w:tcPr>
          <w:p w14:paraId="48DDC3EE"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0.925</w:t>
            </w:r>
          </w:p>
        </w:tc>
      </w:tr>
      <w:tr w:rsidR="005417E8" w:rsidRPr="005417E8" w14:paraId="2F8C22F0" w14:textId="77777777" w:rsidTr="00937CB1">
        <w:trPr>
          <w:trHeight w:val="324"/>
        </w:trPr>
        <w:tc>
          <w:tcPr>
            <w:tcW w:w="608" w:type="dxa"/>
            <w:tcBorders>
              <w:top w:val="nil"/>
              <w:left w:val="single" w:sz="8" w:space="0" w:color="FFFFFF"/>
              <w:bottom w:val="single" w:sz="8" w:space="0" w:color="FFFFFF"/>
              <w:right w:val="single" w:sz="8" w:space="0" w:color="FFFFFF"/>
            </w:tcBorders>
            <w:shd w:val="clear" w:color="auto" w:fill="auto"/>
            <w:vAlign w:val="center"/>
            <w:hideMark/>
          </w:tcPr>
          <w:p w14:paraId="1E5F2860"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TR1</w:t>
            </w:r>
          </w:p>
        </w:tc>
        <w:tc>
          <w:tcPr>
            <w:tcW w:w="5619" w:type="dxa"/>
            <w:tcBorders>
              <w:top w:val="nil"/>
              <w:left w:val="nil"/>
              <w:bottom w:val="single" w:sz="8" w:space="0" w:color="FFFFFF"/>
              <w:right w:val="single" w:sz="8" w:space="0" w:color="FFFFFF"/>
            </w:tcBorders>
            <w:shd w:val="clear" w:color="auto" w:fill="auto"/>
            <w:vAlign w:val="center"/>
            <w:hideMark/>
          </w:tcPr>
          <w:p w14:paraId="439CB26E"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I trust e-commerce for my shopping needs.</w:t>
            </w:r>
          </w:p>
        </w:tc>
        <w:tc>
          <w:tcPr>
            <w:tcW w:w="878" w:type="dxa"/>
            <w:tcBorders>
              <w:top w:val="nil"/>
              <w:left w:val="nil"/>
              <w:bottom w:val="nil"/>
              <w:right w:val="nil"/>
            </w:tcBorders>
            <w:shd w:val="clear" w:color="auto" w:fill="auto"/>
            <w:noWrap/>
            <w:vAlign w:val="center"/>
            <w:hideMark/>
          </w:tcPr>
          <w:p w14:paraId="6D7611B5"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0.871</w:t>
            </w:r>
          </w:p>
        </w:tc>
        <w:tc>
          <w:tcPr>
            <w:tcW w:w="960" w:type="dxa"/>
            <w:tcBorders>
              <w:top w:val="nil"/>
              <w:left w:val="nil"/>
              <w:bottom w:val="nil"/>
              <w:right w:val="nil"/>
            </w:tcBorders>
            <w:shd w:val="clear" w:color="auto" w:fill="auto"/>
            <w:noWrap/>
            <w:vAlign w:val="center"/>
            <w:hideMark/>
          </w:tcPr>
          <w:p w14:paraId="65922E3C"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1072" w:type="dxa"/>
            <w:tcBorders>
              <w:top w:val="nil"/>
              <w:left w:val="nil"/>
              <w:bottom w:val="nil"/>
              <w:right w:val="nil"/>
            </w:tcBorders>
            <w:shd w:val="clear" w:color="auto" w:fill="auto"/>
            <w:noWrap/>
            <w:vAlign w:val="center"/>
            <w:hideMark/>
          </w:tcPr>
          <w:p w14:paraId="340499C6" w14:textId="77777777" w:rsidR="005417E8" w:rsidRPr="005417E8" w:rsidRDefault="005417E8" w:rsidP="00937CB1">
            <w:pPr>
              <w:spacing w:after="0" w:line="240" w:lineRule="auto"/>
              <w:jc w:val="right"/>
              <w:rPr>
                <w:rFonts w:ascii="Times New Roman" w:eastAsia="Times New Roman" w:hAnsi="Times New Roman" w:cs="Times New Roman"/>
              </w:rPr>
            </w:pPr>
          </w:p>
        </w:tc>
      </w:tr>
      <w:tr w:rsidR="005417E8" w:rsidRPr="005417E8" w14:paraId="72708651" w14:textId="77777777" w:rsidTr="00937CB1">
        <w:trPr>
          <w:trHeight w:val="324"/>
        </w:trPr>
        <w:tc>
          <w:tcPr>
            <w:tcW w:w="608" w:type="dxa"/>
            <w:tcBorders>
              <w:top w:val="nil"/>
              <w:left w:val="single" w:sz="8" w:space="0" w:color="FFFFFF"/>
              <w:bottom w:val="single" w:sz="8" w:space="0" w:color="FFFFFF"/>
              <w:right w:val="single" w:sz="8" w:space="0" w:color="FFFFFF"/>
            </w:tcBorders>
            <w:shd w:val="clear" w:color="auto" w:fill="auto"/>
            <w:vAlign w:val="center"/>
            <w:hideMark/>
          </w:tcPr>
          <w:p w14:paraId="2E251B25"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lastRenderedPageBreak/>
              <w:t>TR2</w:t>
            </w:r>
          </w:p>
        </w:tc>
        <w:tc>
          <w:tcPr>
            <w:tcW w:w="5619" w:type="dxa"/>
            <w:tcBorders>
              <w:top w:val="nil"/>
              <w:left w:val="nil"/>
              <w:bottom w:val="single" w:sz="8" w:space="0" w:color="FFFFFF"/>
              <w:right w:val="single" w:sz="8" w:space="0" w:color="FFFFFF"/>
            </w:tcBorders>
            <w:shd w:val="clear" w:color="auto" w:fill="auto"/>
            <w:vAlign w:val="center"/>
            <w:hideMark/>
          </w:tcPr>
          <w:p w14:paraId="608F18A1"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I trust e-commerce for shopping.</w:t>
            </w:r>
          </w:p>
        </w:tc>
        <w:tc>
          <w:tcPr>
            <w:tcW w:w="878" w:type="dxa"/>
            <w:tcBorders>
              <w:top w:val="nil"/>
              <w:left w:val="nil"/>
              <w:bottom w:val="nil"/>
              <w:right w:val="nil"/>
            </w:tcBorders>
            <w:shd w:val="clear" w:color="auto" w:fill="auto"/>
            <w:noWrap/>
            <w:vAlign w:val="center"/>
            <w:hideMark/>
          </w:tcPr>
          <w:p w14:paraId="6CB0CF8C"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0.861</w:t>
            </w:r>
          </w:p>
        </w:tc>
        <w:tc>
          <w:tcPr>
            <w:tcW w:w="960" w:type="dxa"/>
            <w:tcBorders>
              <w:top w:val="nil"/>
              <w:left w:val="nil"/>
              <w:bottom w:val="nil"/>
              <w:right w:val="nil"/>
            </w:tcBorders>
            <w:shd w:val="clear" w:color="auto" w:fill="auto"/>
            <w:noWrap/>
            <w:vAlign w:val="center"/>
            <w:hideMark/>
          </w:tcPr>
          <w:p w14:paraId="56171FC0"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1072" w:type="dxa"/>
            <w:tcBorders>
              <w:top w:val="nil"/>
              <w:left w:val="nil"/>
              <w:bottom w:val="nil"/>
              <w:right w:val="nil"/>
            </w:tcBorders>
            <w:shd w:val="clear" w:color="auto" w:fill="auto"/>
            <w:noWrap/>
            <w:vAlign w:val="center"/>
            <w:hideMark/>
          </w:tcPr>
          <w:p w14:paraId="5029E62F" w14:textId="77777777" w:rsidR="005417E8" w:rsidRPr="005417E8" w:rsidRDefault="005417E8" w:rsidP="00937CB1">
            <w:pPr>
              <w:spacing w:after="0" w:line="240" w:lineRule="auto"/>
              <w:jc w:val="right"/>
              <w:rPr>
                <w:rFonts w:ascii="Times New Roman" w:eastAsia="Times New Roman" w:hAnsi="Times New Roman" w:cs="Times New Roman"/>
              </w:rPr>
            </w:pPr>
          </w:p>
        </w:tc>
      </w:tr>
      <w:tr w:rsidR="005417E8" w:rsidRPr="005417E8" w14:paraId="6E608057" w14:textId="77777777" w:rsidTr="00937CB1">
        <w:trPr>
          <w:trHeight w:val="324"/>
        </w:trPr>
        <w:tc>
          <w:tcPr>
            <w:tcW w:w="608" w:type="dxa"/>
            <w:tcBorders>
              <w:top w:val="nil"/>
              <w:left w:val="single" w:sz="8" w:space="0" w:color="FFFFFF"/>
              <w:bottom w:val="single" w:sz="8" w:space="0" w:color="FFFFFF"/>
              <w:right w:val="single" w:sz="8" w:space="0" w:color="FFFFFF"/>
            </w:tcBorders>
            <w:shd w:val="clear" w:color="auto" w:fill="auto"/>
            <w:vAlign w:val="center"/>
            <w:hideMark/>
          </w:tcPr>
          <w:p w14:paraId="61DDCB2F"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TR3</w:t>
            </w:r>
          </w:p>
        </w:tc>
        <w:tc>
          <w:tcPr>
            <w:tcW w:w="5619" w:type="dxa"/>
            <w:tcBorders>
              <w:top w:val="nil"/>
              <w:left w:val="nil"/>
              <w:bottom w:val="single" w:sz="8" w:space="0" w:color="FFFFFF"/>
              <w:right w:val="single" w:sz="8" w:space="0" w:color="FFFFFF"/>
            </w:tcBorders>
            <w:shd w:val="clear" w:color="auto" w:fill="auto"/>
            <w:vAlign w:val="center"/>
            <w:hideMark/>
          </w:tcPr>
          <w:p w14:paraId="14C8AA5C" w14:textId="090332C2"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 xml:space="preserve">e-commerce platforms provide content </w:t>
            </w:r>
            <w:r w:rsidR="00372CDC">
              <w:rPr>
                <w:rFonts w:ascii="Times New Roman" w:eastAsia="Times New Roman" w:hAnsi="Times New Roman" w:cs="Times New Roman"/>
                <w:color w:val="000000"/>
              </w:rPr>
              <w:t xml:space="preserve">that is </w:t>
            </w:r>
            <w:r w:rsidRPr="005417E8">
              <w:rPr>
                <w:rFonts w:ascii="Times New Roman" w:eastAsia="Times New Roman" w:hAnsi="Times New Roman" w:cs="Times New Roman"/>
                <w:color w:val="000000"/>
              </w:rPr>
              <w:t>in my best interests.</w:t>
            </w:r>
          </w:p>
        </w:tc>
        <w:tc>
          <w:tcPr>
            <w:tcW w:w="878" w:type="dxa"/>
            <w:tcBorders>
              <w:top w:val="nil"/>
              <w:left w:val="nil"/>
              <w:bottom w:val="nil"/>
              <w:right w:val="nil"/>
            </w:tcBorders>
            <w:shd w:val="clear" w:color="auto" w:fill="auto"/>
            <w:noWrap/>
            <w:vAlign w:val="center"/>
            <w:hideMark/>
          </w:tcPr>
          <w:p w14:paraId="713C4E8E"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0.866</w:t>
            </w:r>
          </w:p>
        </w:tc>
        <w:tc>
          <w:tcPr>
            <w:tcW w:w="960" w:type="dxa"/>
            <w:tcBorders>
              <w:top w:val="nil"/>
              <w:left w:val="nil"/>
              <w:bottom w:val="nil"/>
              <w:right w:val="nil"/>
            </w:tcBorders>
            <w:shd w:val="clear" w:color="auto" w:fill="auto"/>
            <w:noWrap/>
            <w:vAlign w:val="center"/>
            <w:hideMark/>
          </w:tcPr>
          <w:p w14:paraId="319E9433"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1072" w:type="dxa"/>
            <w:tcBorders>
              <w:top w:val="nil"/>
              <w:left w:val="nil"/>
              <w:bottom w:val="nil"/>
              <w:right w:val="nil"/>
            </w:tcBorders>
            <w:shd w:val="clear" w:color="auto" w:fill="auto"/>
            <w:noWrap/>
            <w:vAlign w:val="center"/>
            <w:hideMark/>
          </w:tcPr>
          <w:p w14:paraId="2BA830AF" w14:textId="77777777" w:rsidR="005417E8" w:rsidRPr="005417E8" w:rsidRDefault="005417E8" w:rsidP="00937CB1">
            <w:pPr>
              <w:spacing w:after="0" w:line="240" w:lineRule="auto"/>
              <w:jc w:val="right"/>
              <w:rPr>
                <w:rFonts w:ascii="Times New Roman" w:eastAsia="Times New Roman" w:hAnsi="Times New Roman" w:cs="Times New Roman"/>
              </w:rPr>
            </w:pPr>
          </w:p>
        </w:tc>
      </w:tr>
      <w:tr w:rsidR="005417E8" w:rsidRPr="005417E8" w14:paraId="6C660EA2" w14:textId="77777777" w:rsidTr="00937CB1">
        <w:trPr>
          <w:trHeight w:val="324"/>
        </w:trPr>
        <w:tc>
          <w:tcPr>
            <w:tcW w:w="608" w:type="dxa"/>
            <w:tcBorders>
              <w:top w:val="nil"/>
              <w:left w:val="single" w:sz="8" w:space="0" w:color="FFFFFF"/>
              <w:bottom w:val="single" w:sz="8" w:space="0" w:color="FFFFFF"/>
              <w:right w:val="single" w:sz="8" w:space="0" w:color="FFFFFF"/>
            </w:tcBorders>
            <w:shd w:val="clear" w:color="auto" w:fill="auto"/>
            <w:vAlign w:val="center"/>
            <w:hideMark/>
          </w:tcPr>
          <w:p w14:paraId="0728707C"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TR4</w:t>
            </w:r>
          </w:p>
        </w:tc>
        <w:tc>
          <w:tcPr>
            <w:tcW w:w="5619" w:type="dxa"/>
            <w:tcBorders>
              <w:top w:val="nil"/>
              <w:left w:val="nil"/>
              <w:bottom w:val="single" w:sz="8" w:space="0" w:color="FFFFFF"/>
              <w:right w:val="single" w:sz="8" w:space="0" w:color="FFFFFF"/>
            </w:tcBorders>
            <w:shd w:val="clear" w:color="auto" w:fill="auto"/>
            <w:vAlign w:val="center"/>
            <w:hideMark/>
          </w:tcPr>
          <w:p w14:paraId="357007A9"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e-commerce platforms protect my interest as a user.</w:t>
            </w:r>
          </w:p>
        </w:tc>
        <w:tc>
          <w:tcPr>
            <w:tcW w:w="878" w:type="dxa"/>
            <w:tcBorders>
              <w:top w:val="nil"/>
              <w:left w:val="nil"/>
              <w:bottom w:val="nil"/>
              <w:right w:val="nil"/>
            </w:tcBorders>
            <w:shd w:val="clear" w:color="auto" w:fill="auto"/>
            <w:noWrap/>
            <w:vAlign w:val="center"/>
            <w:hideMark/>
          </w:tcPr>
          <w:p w14:paraId="25E2A43B"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0.898</w:t>
            </w:r>
          </w:p>
        </w:tc>
        <w:tc>
          <w:tcPr>
            <w:tcW w:w="960" w:type="dxa"/>
            <w:tcBorders>
              <w:top w:val="nil"/>
              <w:left w:val="nil"/>
              <w:bottom w:val="nil"/>
              <w:right w:val="nil"/>
            </w:tcBorders>
            <w:shd w:val="clear" w:color="auto" w:fill="auto"/>
            <w:noWrap/>
            <w:vAlign w:val="center"/>
            <w:hideMark/>
          </w:tcPr>
          <w:p w14:paraId="02C32A01" w14:textId="77777777"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1072" w:type="dxa"/>
            <w:tcBorders>
              <w:top w:val="nil"/>
              <w:left w:val="nil"/>
              <w:bottom w:val="nil"/>
              <w:right w:val="nil"/>
            </w:tcBorders>
            <w:shd w:val="clear" w:color="auto" w:fill="auto"/>
            <w:noWrap/>
            <w:vAlign w:val="center"/>
            <w:hideMark/>
          </w:tcPr>
          <w:p w14:paraId="142F0F2E" w14:textId="77777777" w:rsidR="005417E8" w:rsidRPr="005417E8" w:rsidRDefault="005417E8" w:rsidP="00937CB1">
            <w:pPr>
              <w:spacing w:after="0" w:line="240" w:lineRule="auto"/>
              <w:jc w:val="right"/>
              <w:rPr>
                <w:rFonts w:ascii="Times New Roman" w:eastAsia="Times New Roman" w:hAnsi="Times New Roman" w:cs="Times New Roman"/>
              </w:rPr>
            </w:pPr>
          </w:p>
        </w:tc>
      </w:tr>
      <w:tr w:rsidR="00937CB1" w:rsidRPr="005417E8" w14:paraId="31D19A8E" w14:textId="77777777" w:rsidTr="00937CB1">
        <w:trPr>
          <w:trHeight w:val="312"/>
        </w:trPr>
        <w:tc>
          <w:tcPr>
            <w:tcW w:w="608" w:type="dxa"/>
            <w:tcBorders>
              <w:top w:val="nil"/>
              <w:left w:val="single" w:sz="8" w:space="0" w:color="FFFFFF"/>
              <w:bottom w:val="single" w:sz="12" w:space="0" w:color="auto"/>
              <w:right w:val="single" w:sz="8" w:space="0" w:color="FFFFFF"/>
            </w:tcBorders>
            <w:shd w:val="clear" w:color="auto" w:fill="auto"/>
            <w:vAlign w:val="center"/>
            <w:hideMark/>
          </w:tcPr>
          <w:p w14:paraId="224C532A"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TR5</w:t>
            </w:r>
          </w:p>
        </w:tc>
        <w:tc>
          <w:tcPr>
            <w:tcW w:w="5619" w:type="dxa"/>
            <w:tcBorders>
              <w:top w:val="nil"/>
              <w:left w:val="nil"/>
              <w:bottom w:val="single" w:sz="12" w:space="0" w:color="auto"/>
              <w:right w:val="single" w:sz="8" w:space="0" w:color="FFFFFF"/>
            </w:tcBorders>
            <w:shd w:val="clear" w:color="auto" w:fill="auto"/>
            <w:vAlign w:val="center"/>
            <w:hideMark/>
          </w:tcPr>
          <w:p w14:paraId="651F44E7" w14:textId="77777777" w:rsidR="005417E8" w:rsidRPr="005417E8" w:rsidRDefault="005417E8" w:rsidP="00937CB1">
            <w:pPr>
              <w:spacing w:after="0" w:line="240" w:lineRule="auto"/>
              <w:rPr>
                <w:rFonts w:ascii="Times New Roman" w:eastAsia="Times New Roman" w:hAnsi="Times New Roman" w:cs="Times New Roman"/>
                <w:color w:val="000000"/>
              </w:rPr>
            </w:pPr>
            <w:r w:rsidRPr="005417E8">
              <w:rPr>
                <w:rFonts w:ascii="Times New Roman" w:eastAsia="Times New Roman" w:hAnsi="Times New Roman" w:cs="Times New Roman"/>
                <w:color w:val="000000"/>
              </w:rPr>
              <w:t>e-commerce is a safe and secure space for everyone.</w:t>
            </w:r>
          </w:p>
        </w:tc>
        <w:tc>
          <w:tcPr>
            <w:tcW w:w="878" w:type="dxa"/>
            <w:tcBorders>
              <w:top w:val="nil"/>
              <w:left w:val="nil"/>
              <w:bottom w:val="single" w:sz="12" w:space="0" w:color="auto"/>
              <w:right w:val="nil"/>
            </w:tcBorders>
            <w:shd w:val="clear" w:color="auto" w:fill="auto"/>
            <w:noWrap/>
            <w:vAlign w:val="center"/>
            <w:hideMark/>
          </w:tcPr>
          <w:p w14:paraId="7BA3392A" w14:textId="77777777" w:rsidR="005417E8" w:rsidRPr="005417E8" w:rsidRDefault="005417E8" w:rsidP="00937CB1">
            <w:pPr>
              <w:spacing w:after="0" w:line="240" w:lineRule="auto"/>
              <w:jc w:val="right"/>
              <w:rPr>
                <w:rFonts w:ascii="Times New Roman" w:eastAsia="Times New Roman" w:hAnsi="Times New Roman" w:cs="Times New Roman"/>
                <w:color w:val="000000"/>
              </w:rPr>
            </w:pPr>
            <w:r w:rsidRPr="005417E8">
              <w:rPr>
                <w:rFonts w:ascii="Times New Roman" w:eastAsia="Times New Roman" w:hAnsi="Times New Roman" w:cs="Times New Roman"/>
                <w:color w:val="000000"/>
              </w:rPr>
              <w:t>0.889</w:t>
            </w:r>
          </w:p>
        </w:tc>
        <w:tc>
          <w:tcPr>
            <w:tcW w:w="960" w:type="dxa"/>
            <w:tcBorders>
              <w:top w:val="nil"/>
              <w:left w:val="nil"/>
              <w:bottom w:val="single" w:sz="12" w:space="0" w:color="auto"/>
              <w:right w:val="nil"/>
            </w:tcBorders>
            <w:shd w:val="clear" w:color="auto" w:fill="auto"/>
            <w:noWrap/>
            <w:vAlign w:val="center"/>
            <w:hideMark/>
          </w:tcPr>
          <w:p w14:paraId="3FD50C00" w14:textId="4C6E7272" w:rsidR="005417E8" w:rsidRPr="005417E8" w:rsidRDefault="005417E8" w:rsidP="00937CB1">
            <w:pPr>
              <w:spacing w:after="0" w:line="240" w:lineRule="auto"/>
              <w:jc w:val="right"/>
              <w:rPr>
                <w:rFonts w:ascii="Times New Roman" w:eastAsia="Times New Roman" w:hAnsi="Times New Roman" w:cs="Times New Roman"/>
                <w:color w:val="000000"/>
              </w:rPr>
            </w:pPr>
          </w:p>
        </w:tc>
        <w:tc>
          <w:tcPr>
            <w:tcW w:w="1072" w:type="dxa"/>
            <w:tcBorders>
              <w:top w:val="nil"/>
              <w:left w:val="nil"/>
              <w:bottom w:val="single" w:sz="12" w:space="0" w:color="auto"/>
              <w:right w:val="nil"/>
            </w:tcBorders>
            <w:shd w:val="clear" w:color="auto" w:fill="auto"/>
            <w:noWrap/>
            <w:vAlign w:val="center"/>
            <w:hideMark/>
          </w:tcPr>
          <w:p w14:paraId="6B3A2CB2" w14:textId="44296B76" w:rsidR="005417E8" w:rsidRPr="005417E8" w:rsidRDefault="005417E8" w:rsidP="00937CB1">
            <w:pPr>
              <w:spacing w:after="0" w:line="240" w:lineRule="auto"/>
              <w:jc w:val="right"/>
              <w:rPr>
                <w:rFonts w:ascii="Times New Roman" w:eastAsia="Times New Roman" w:hAnsi="Times New Roman" w:cs="Times New Roman"/>
                <w:color w:val="000000"/>
              </w:rPr>
            </w:pPr>
          </w:p>
        </w:tc>
      </w:tr>
    </w:tbl>
    <w:p w14:paraId="0E34CCE5" w14:textId="595EBEEC" w:rsidR="005417E8" w:rsidRDefault="00A51C04" w:rsidP="00A51C04">
      <w:pPr>
        <w:spacing w:after="0"/>
        <w:jc w:val="both"/>
      </w:pPr>
      <w:r>
        <w:t>s</w:t>
      </w:r>
    </w:p>
    <w:p w14:paraId="24FA5E54" w14:textId="62CD86EA" w:rsidR="00D32E59" w:rsidRDefault="007D482F" w:rsidP="00B4237A">
      <w:pPr>
        <w:spacing w:after="0"/>
        <w:jc w:val="both"/>
        <w:rPr>
          <w:rFonts w:ascii="Times New Roman" w:hAnsi="Times New Roman" w:cs="Times New Roman"/>
        </w:rPr>
      </w:pPr>
      <w:r w:rsidRPr="00234FFB">
        <w:rPr>
          <w:rFonts w:ascii="Times New Roman" w:hAnsi="Times New Roman" w:cs="Times New Roman"/>
        </w:rPr>
        <w:t>Table 3. HTMT Values</w:t>
      </w:r>
    </w:p>
    <w:tbl>
      <w:tblPr>
        <w:tblW w:w="5509" w:type="dxa"/>
        <w:tblLook w:val="04A0" w:firstRow="1" w:lastRow="0" w:firstColumn="1" w:lastColumn="0" w:noHBand="0" w:noVBand="1"/>
      </w:tblPr>
      <w:tblGrid>
        <w:gridCol w:w="709"/>
        <w:gridCol w:w="960"/>
        <w:gridCol w:w="960"/>
        <w:gridCol w:w="960"/>
        <w:gridCol w:w="960"/>
        <w:gridCol w:w="960"/>
      </w:tblGrid>
      <w:tr w:rsidR="00CE7017" w:rsidRPr="00CE7017" w14:paraId="27813BAB" w14:textId="77777777" w:rsidTr="00CE7017">
        <w:trPr>
          <w:trHeight w:val="288"/>
        </w:trPr>
        <w:tc>
          <w:tcPr>
            <w:tcW w:w="709" w:type="dxa"/>
            <w:tcBorders>
              <w:top w:val="single" w:sz="4" w:space="0" w:color="auto"/>
              <w:left w:val="nil"/>
              <w:bottom w:val="single" w:sz="4" w:space="0" w:color="auto"/>
              <w:right w:val="nil"/>
            </w:tcBorders>
            <w:shd w:val="clear" w:color="auto" w:fill="auto"/>
            <w:noWrap/>
            <w:vAlign w:val="bottom"/>
            <w:hideMark/>
          </w:tcPr>
          <w:p w14:paraId="489F1B07" w14:textId="77777777" w:rsidR="00CE7017" w:rsidRPr="00CE7017" w:rsidRDefault="00CE7017" w:rsidP="00CE7017">
            <w:pPr>
              <w:spacing w:after="0" w:line="240" w:lineRule="auto"/>
              <w:rPr>
                <w:rFonts w:ascii="Times New Roman" w:eastAsia="Times New Roman" w:hAnsi="Times New Roman" w:cs="Times New Roman"/>
              </w:rPr>
            </w:pPr>
          </w:p>
        </w:tc>
        <w:tc>
          <w:tcPr>
            <w:tcW w:w="960" w:type="dxa"/>
            <w:tcBorders>
              <w:top w:val="single" w:sz="4" w:space="0" w:color="auto"/>
              <w:left w:val="nil"/>
              <w:bottom w:val="single" w:sz="4" w:space="0" w:color="auto"/>
              <w:right w:val="nil"/>
            </w:tcBorders>
            <w:shd w:val="clear" w:color="auto" w:fill="auto"/>
            <w:noWrap/>
            <w:vAlign w:val="bottom"/>
            <w:hideMark/>
          </w:tcPr>
          <w:p w14:paraId="1ADCB4A3" w14:textId="77777777" w:rsidR="00CE7017" w:rsidRPr="00CE7017" w:rsidRDefault="00CE7017" w:rsidP="00CE7017">
            <w:pPr>
              <w:spacing w:after="0" w:line="240" w:lineRule="auto"/>
              <w:jc w:val="center"/>
              <w:rPr>
                <w:rFonts w:ascii="Times New Roman" w:eastAsia="Times New Roman" w:hAnsi="Times New Roman" w:cs="Times New Roman"/>
                <w:color w:val="000000"/>
              </w:rPr>
            </w:pPr>
            <w:r w:rsidRPr="00CE7017">
              <w:rPr>
                <w:rFonts w:ascii="Times New Roman" w:eastAsia="Times New Roman" w:hAnsi="Times New Roman" w:cs="Times New Roman"/>
                <w:color w:val="000000"/>
              </w:rPr>
              <w:t>CE</w:t>
            </w:r>
          </w:p>
        </w:tc>
        <w:tc>
          <w:tcPr>
            <w:tcW w:w="960" w:type="dxa"/>
            <w:tcBorders>
              <w:top w:val="single" w:sz="4" w:space="0" w:color="auto"/>
              <w:left w:val="nil"/>
              <w:bottom w:val="single" w:sz="4" w:space="0" w:color="auto"/>
              <w:right w:val="nil"/>
            </w:tcBorders>
            <w:shd w:val="clear" w:color="auto" w:fill="auto"/>
            <w:noWrap/>
            <w:vAlign w:val="bottom"/>
            <w:hideMark/>
          </w:tcPr>
          <w:p w14:paraId="200A8392" w14:textId="77777777" w:rsidR="00CE7017" w:rsidRPr="00CE7017" w:rsidRDefault="00CE7017" w:rsidP="00CE7017">
            <w:pPr>
              <w:spacing w:after="0" w:line="240" w:lineRule="auto"/>
              <w:jc w:val="center"/>
              <w:rPr>
                <w:rFonts w:ascii="Times New Roman" w:eastAsia="Times New Roman" w:hAnsi="Times New Roman" w:cs="Times New Roman"/>
                <w:color w:val="000000"/>
              </w:rPr>
            </w:pPr>
            <w:r w:rsidRPr="00CE7017">
              <w:rPr>
                <w:rFonts w:ascii="Times New Roman" w:eastAsia="Times New Roman" w:hAnsi="Times New Roman" w:cs="Times New Roman"/>
                <w:color w:val="000000"/>
              </w:rPr>
              <w:t>PC</w:t>
            </w:r>
          </w:p>
        </w:tc>
        <w:tc>
          <w:tcPr>
            <w:tcW w:w="960" w:type="dxa"/>
            <w:tcBorders>
              <w:top w:val="single" w:sz="4" w:space="0" w:color="auto"/>
              <w:left w:val="nil"/>
              <w:bottom w:val="single" w:sz="4" w:space="0" w:color="auto"/>
              <w:right w:val="nil"/>
            </w:tcBorders>
            <w:shd w:val="clear" w:color="auto" w:fill="auto"/>
            <w:noWrap/>
            <w:vAlign w:val="bottom"/>
            <w:hideMark/>
          </w:tcPr>
          <w:p w14:paraId="4E662DE9" w14:textId="77777777" w:rsidR="00CE7017" w:rsidRPr="00CE7017" w:rsidRDefault="00CE7017" w:rsidP="00CE7017">
            <w:pPr>
              <w:spacing w:after="0" w:line="240" w:lineRule="auto"/>
              <w:jc w:val="center"/>
              <w:rPr>
                <w:rFonts w:ascii="Times New Roman" w:eastAsia="Times New Roman" w:hAnsi="Times New Roman" w:cs="Times New Roman"/>
                <w:color w:val="000000"/>
              </w:rPr>
            </w:pPr>
            <w:r w:rsidRPr="00CE7017">
              <w:rPr>
                <w:rFonts w:ascii="Times New Roman" w:eastAsia="Times New Roman" w:hAnsi="Times New Roman" w:cs="Times New Roman"/>
                <w:color w:val="000000"/>
              </w:rPr>
              <w:t>PU</w:t>
            </w:r>
          </w:p>
        </w:tc>
        <w:tc>
          <w:tcPr>
            <w:tcW w:w="960" w:type="dxa"/>
            <w:tcBorders>
              <w:top w:val="single" w:sz="4" w:space="0" w:color="auto"/>
              <w:left w:val="nil"/>
              <w:bottom w:val="single" w:sz="4" w:space="0" w:color="auto"/>
              <w:right w:val="nil"/>
            </w:tcBorders>
            <w:shd w:val="clear" w:color="auto" w:fill="auto"/>
            <w:noWrap/>
            <w:vAlign w:val="bottom"/>
            <w:hideMark/>
          </w:tcPr>
          <w:p w14:paraId="40FC347D" w14:textId="77777777" w:rsidR="00CE7017" w:rsidRPr="00CE7017" w:rsidRDefault="00CE7017" w:rsidP="00CE7017">
            <w:pPr>
              <w:spacing w:after="0" w:line="240" w:lineRule="auto"/>
              <w:jc w:val="center"/>
              <w:rPr>
                <w:rFonts w:ascii="Times New Roman" w:eastAsia="Times New Roman" w:hAnsi="Times New Roman" w:cs="Times New Roman"/>
                <w:color w:val="000000"/>
              </w:rPr>
            </w:pPr>
            <w:r w:rsidRPr="00CE7017">
              <w:rPr>
                <w:rFonts w:ascii="Times New Roman" w:eastAsia="Times New Roman" w:hAnsi="Times New Roman" w:cs="Times New Roman"/>
                <w:color w:val="000000"/>
              </w:rPr>
              <w:t>SF</w:t>
            </w:r>
          </w:p>
        </w:tc>
        <w:tc>
          <w:tcPr>
            <w:tcW w:w="960" w:type="dxa"/>
            <w:tcBorders>
              <w:top w:val="single" w:sz="4" w:space="0" w:color="auto"/>
              <w:left w:val="nil"/>
              <w:bottom w:val="single" w:sz="4" w:space="0" w:color="auto"/>
              <w:right w:val="nil"/>
            </w:tcBorders>
            <w:shd w:val="clear" w:color="auto" w:fill="auto"/>
            <w:noWrap/>
            <w:vAlign w:val="bottom"/>
            <w:hideMark/>
          </w:tcPr>
          <w:p w14:paraId="26766804" w14:textId="77777777" w:rsidR="00CE7017" w:rsidRPr="00CE7017" w:rsidRDefault="00CE7017" w:rsidP="00CE7017">
            <w:pPr>
              <w:spacing w:after="0" w:line="240" w:lineRule="auto"/>
              <w:jc w:val="center"/>
              <w:rPr>
                <w:rFonts w:ascii="Times New Roman" w:eastAsia="Times New Roman" w:hAnsi="Times New Roman" w:cs="Times New Roman"/>
                <w:color w:val="000000"/>
              </w:rPr>
            </w:pPr>
            <w:r w:rsidRPr="00CE7017">
              <w:rPr>
                <w:rFonts w:ascii="Times New Roman" w:eastAsia="Times New Roman" w:hAnsi="Times New Roman" w:cs="Times New Roman"/>
                <w:color w:val="000000"/>
              </w:rPr>
              <w:t>TR</w:t>
            </w:r>
          </w:p>
        </w:tc>
      </w:tr>
      <w:tr w:rsidR="00CE7017" w:rsidRPr="00CE7017" w14:paraId="18A4902D" w14:textId="77777777" w:rsidTr="00CE7017">
        <w:trPr>
          <w:trHeight w:val="288"/>
        </w:trPr>
        <w:tc>
          <w:tcPr>
            <w:tcW w:w="709" w:type="dxa"/>
            <w:tcBorders>
              <w:top w:val="single" w:sz="4" w:space="0" w:color="auto"/>
              <w:left w:val="nil"/>
              <w:bottom w:val="nil"/>
              <w:right w:val="nil"/>
            </w:tcBorders>
            <w:shd w:val="clear" w:color="auto" w:fill="auto"/>
            <w:noWrap/>
            <w:vAlign w:val="bottom"/>
            <w:hideMark/>
          </w:tcPr>
          <w:p w14:paraId="23DADD46" w14:textId="77777777" w:rsidR="00CE7017" w:rsidRPr="00CE7017" w:rsidRDefault="00CE7017" w:rsidP="00CE7017">
            <w:pPr>
              <w:spacing w:after="0" w:line="240" w:lineRule="auto"/>
              <w:rPr>
                <w:rFonts w:ascii="Times New Roman" w:eastAsia="Times New Roman" w:hAnsi="Times New Roman" w:cs="Times New Roman"/>
                <w:color w:val="000000"/>
              </w:rPr>
            </w:pPr>
            <w:r w:rsidRPr="00CE7017">
              <w:rPr>
                <w:rFonts w:ascii="Times New Roman" w:eastAsia="Times New Roman" w:hAnsi="Times New Roman" w:cs="Times New Roman"/>
                <w:color w:val="000000"/>
              </w:rPr>
              <w:t>CE</w:t>
            </w:r>
          </w:p>
        </w:tc>
        <w:tc>
          <w:tcPr>
            <w:tcW w:w="960" w:type="dxa"/>
            <w:tcBorders>
              <w:top w:val="single" w:sz="4" w:space="0" w:color="auto"/>
              <w:left w:val="nil"/>
              <w:bottom w:val="nil"/>
              <w:right w:val="nil"/>
            </w:tcBorders>
            <w:shd w:val="clear" w:color="auto" w:fill="auto"/>
            <w:noWrap/>
            <w:vAlign w:val="bottom"/>
            <w:hideMark/>
          </w:tcPr>
          <w:p w14:paraId="1E678B37" w14:textId="77777777" w:rsidR="00CE7017" w:rsidRPr="00CE7017" w:rsidRDefault="00CE7017" w:rsidP="00CE7017">
            <w:pPr>
              <w:spacing w:after="0" w:line="240" w:lineRule="auto"/>
              <w:rPr>
                <w:rFonts w:ascii="Times New Roman" w:eastAsia="Times New Roman" w:hAnsi="Times New Roman" w:cs="Times New Roman"/>
                <w:color w:val="000000"/>
              </w:rPr>
            </w:pPr>
          </w:p>
        </w:tc>
        <w:tc>
          <w:tcPr>
            <w:tcW w:w="960" w:type="dxa"/>
            <w:tcBorders>
              <w:top w:val="single" w:sz="4" w:space="0" w:color="auto"/>
              <w:left w:val="nil"/>
              <w:bottom w:val="nil"/>
              <w:right w:val="nil"/>
            </w:tcBorders>
            <w:shd w:val="clear" w:color="auto" w:fill="auto"/>
            <w:noWrap/>
            <w:vAlign w:val="bottom"/>
            <w:hideMark/>
          </w:tcPr>
          <w:p w14:paraId="05548D15" w14:textId="77777777" w:rsidR="00CE7017" w:rsidRPr="00CE7017" w:rsidRDefault="00CE7017" w:rsidP="00CE7017">
            <w:pPr>
              <w:spacing w:after="0" w:line="240" w:lineRule="auto"/>
              <w:rPr>
                <w:rFonts w:ascii="Times New Roman" w:eastAsia="Times New Roman" w:hAnsi="Times New Roman" w:cs="Times New Roman"/>
              </w:rPr>
            </w:pPr>
          </w:p>
        </w:tc>
        <w:tc>
          <w:tcPr>
            <w:tcW w:w="960" w:type="dxa"/>
            <w:tcBorders>
              <w:top w:val="single" w:sz="4" w:space="0" w:color="auto"/>
              <w:left w:val="nil"/>
              <w:bottom w:val="nil"/>
              <w:right w:val="nil"/>
            </w:tcBorders>
            <w:shd w:val="clear" w:color="auto" w:fill="auto"/>
            <w:noWrap/>
            <w:vAlign w:val="bottom"/>
            <w:hideMark/>
          </w:tcPr>
          <w:p w14:paraId="17B518C7" w14:textId="77777777" w:rsidR="00CE7017" w:rsidRPr="00CE7017" w:rsidRDefault="00CE7017" w:rsidP="00CE7017">
            <w:pPr>
              <w:spacing w:after="0" w:line="240" w:lineRule="auto"/>
              <w:rPr>
                <w:rFonts w:ascii="Times New Roman" w:eastAsia="Times New Roman" w:hAnsi="Times New Roman" w:cs="Times New Roman"/>
              </w:rPr>
            </w:pPr>
          </w:p>
        </w:tc>
        <w:tc>
          <w:tcPr>
            <w:tcW w:w="960" w:type="dxa"/>
            <w:tcBorders>
              <w:top w:val="single" w:sz="4" w:space="0" w:color="auto"/>
              <w:left w:val="nil"/>
              <w:bottom w:val="nil"/>
              <w:right w:val="nil"/>
            </w:tcBorders>
            <w:shd w:val="clear" w:color="auto" w:fill="auto"/>
            <w:noWrap/>
            <w:vAlign w:val="bottom"/>
            <w:hideMark/>
          </w:tcPr>
          <w:p w14:paraId="19843BF9" w14:textId="77777777" w:rsidR="00CE7017" w:rsidRPr="00CE7017" w:rsidRDefault="00CE7017" w:rsidP="00CE7017">
            <w:pPr>
              <w:spacing w:after="0" w:line="240" w:lineRule="auto"/>
              <w:rPr>
                <w:rFonts w:ascii="Times New Roman" w:eastAsia="Times New Roman" w:hAnsi="Times New Roman" w:cs="Times New Roman"/>
              </w:rPr>
            </w:pPr>
          </w:p>
        </w:tc>
        <w:tc>
          <w:tcPr>
            <w:tcW w:w="960" w:type="dxa"/>
            <w:tcBorders>
              <w:top w:val="single" w:sz="4" w:space="0" w:color="auto"/>
              <w:left w:val="nil"/>
              <w:bottom w:val="nil"/>
              <w:right w:val="nil"/>
            </w:tcBorders>
            <w:shd w:val="clear" w:color="auto" w:fill="auto"/>
            <w:noWrap/>
            <w:vAlign w:val="bottom"/>
            <w:hideMark/>
          </w:tcPr>
          <w:p w14:paraId="00FD8359" w14:textId="77777777" w:rsidR="00CE7017" w:rsidRPr="00CE7017" w:rsidRDefault="00CE7017" w:rsidP="00CE7017">
            <w:pPr>
              <w:spacing w:after="0" w:line="240" w:lineRule="auto"/>
              <w:rPr>
                <w:rFonts w:ascii="Times New Roman" w:eastAsia="Times New Roman" w:hAnsi="Times New Roman" w:cs="Times New Roman"/>
              </w:rPr>
            </w:pPr>
          </w:p>
        </w:tc>
      </w:tr>
      <w:tr w:rsidR="00CE7017" w:rsidRPr="00CE7017" w14:paraId="173BABA7" w14:textId="77777777" w:rsidTr="00CE7017">
        <w:trPr>
          <w:trHeight w:val="288"/>
        </w:trPr>
        <w:tc>
          <w:tcPr>
            <w:tcW w:w="709" w:type="dxa"/>
            <w:tcBorders>
              <w:top w:val="nil"/>
              <w:left w:val="nil"/>
              <w:bottom w:val="nil"/>
              <w:right w:val="nil"/>
            </w:tcBorders>
            <w:shd w:val="clear" w:color="auto" w:fill="auto"/>
            <w:noWrap/>
            <w:vAlign w:val="bottom"/>
            <w:hideMark/>
          </w:tcPr>
          <w:p w14:paraId="7C3BD394" w14:textId="77777777" w:rsidR="00CE7017" w:rsidRPr="00CE7017" w:rsidRDefault="00CE7017" w:rsidP="00CE7017">
            <w:pPr>
              <w:spacing w:after="0" w:line="240" w:lineRule="auto"/>
              <w:rPr>
                <w:rFonts w:ascii="Times New Roman" w:eastAsia="Times New Roman" w:hAnsi="Times New Roman" w:cs="Times New Roman"/>
                <w:color w:val="000000"/>
              </w:rPr>
            </w:pPr>
            <w:r w:rsidRPr="00CE7017">
              <w:rPr>
                <w:rFonts w:ascii="Times New Roman" w:eastAsia="Times New Roman" w:hAnsi="Times New Roman" w:cs="Times New Roman"/>
                <w:color w:val="000000"/>
              </w:rPr>
              <w:t>PC</w:t>
            </w:r>
          </w:p>
        </w:tc>
        <w:tc>
          <w:tcPr>
            <w:tcW w:w="960" w:type="dxa"/>
            <w:tcBorders>
              <w:top w:val="nil"/>
              <w:left w:val="nil"/>
              <w:bottom w:val="nil"/>
              <w:right w:val="nil"/>
            </w:tcBorders>
            <w:shd w:val="clear" w:color="auto" w:fill="auto"/>
            <w:noWrap/>
            <w:vAlign w:val="bottom"/>
            <w:hideMark/>
          </w:tcPr>
          <w:p w14:paraId="1E30DA2E" w14:textId="1A3E146B" w:rsidR="00CE7017" w:rsidRPr="00CE7017" w:rsidRDefault="00CE7017" w:rsidP="00CE7017">
            <w:pPr>
              <w:spacing w:after="0" w:line="240" w:lineRule="auto"/>
              <w:jc w:val="right"/>
              <w:rPr>
                <w:rFonts w:ascii="Times New Roman" w:eastAsia="Times New Roman" w:hAnsi="Times New Roman" w:cs="Times New Roman"/>
                <w:color w:val="000000"/>
              </w:rPr>
            </w:pPr>
            <w:r w:rsidRPr="00CE7017">
              <w:rPr>
                <w:rFonts w:ascii="Times New Roman" w:eastAsia="Times New Roman" w:hAnsi="Times New Roman" w:cs="Times New Roman"/>
                <w:color w:val="000000"/>
              </w:rPr>
              <w:t>0.</w:t>
            </w:r>
            <w:r>
              <w:rPr>
                <w:rFonts w:ascii="Times New Roman" w:eastAsia="Times New Roman" w:hAnsi="Times New Roman" w:cs="Times New Roman"/>
                <w:color w:val="000000"/>
              </w:rPr>
              <w:t>8</w:t>
            </w:r>
            <w:r w:rsidRPr="00CE7017">
              <w:rPr>
                <w:rFonts w:ascii="Times New Roman" w:eastAsia="Times New Roman" w:hAnsi="Times New Roman" w:cs="Times New Roman"/>
                <w:color w:val="000000"/>
              </w:rPr>
              <w:t>24</w:t>
            </w:r>
          </w:p>
        </w:tc>
        <w:tc>
          <w:tcPr>
            <w:tcW w:w="960" w:type="dxa"/>
            <w:tcBorders>
              <w:top w:val="nil"/>
              <w:left w:val="nil"/>
              <w:bottom w:val="nil"/>
              <w:right w:val="nil"/>
            </w:tcBorders>
            <w:shd w:val="clear" w:color="auto" w:fill="auto"/>
            <w:noWrap/>
            <w:vAlign w:val="bottom"/>
            <w:hideMark/>
          </w:tcPr>
          <w:p w14:paraId="532EC6E4" w14:textId="77777777" w:rsidR="00CE7017" w:rsidRPr="00CE7017" w:rsidRDefault="00CE7017" w:rsidP="00CE7017">
            <w:pPr>
              <w:spacing w:after="0" w:line="240" w:lineRule="auto"/>
              <w:jc w:val="right"/>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14:paraId="4490EACD" w14:textId="77777777" w:rsidR="00CE7017" w:rsidRPr="00CE7017" w:rsidRDefault="00CE7017" w:rsidP="00CE701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068C8960" w14:textId="77777777" w:rsidR="00CE7017" w:rsidRPr="00CE7017" w:rsidRDefault="00CE7017" w:rsidP="00CE701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587EE59D" w14:textId="77777777" w:rsidR="00CE7017" w:rsidRPr="00CE7017" w:rsidRDefault="00CE7017" w:rsidP="00CE7017">
            <w:pPr>
              <w:spacing w:after="0" w:line="240" w:lineRule="auto"/>
              <w:rPr>
                <w:rFonts w:ascii="Times New Roman" w:eastAsia="Times New Roman" w:hAnsi="Times New Roman" w:cs="Times New Roman"/>
              </w:rPr>
            </w:pPr>
          </w:p>
        </w:tc>
      </w:tr>
      <w:tr w:rsidR="00CE7017" w:rsidRPr="00CE7017" w14:paraId="3F2E0C5F" w14:textId="77777777" w:rsidTr="00CE7017">
        <w:trPr>
          <w:trHeight w:val="288"/>
        </w:trPr>
        <w:tc>
          <w:tcPr>
            <w:tcW w:w="709" w:type="dxa"/>
            <w:tcBorders>
              <w:top w:val="nil"/>
              <w:left w:val="nil"/>
              <w:bottom w:val="nil"/>
              <w:right w:val="nil"/>
            </w:tcBorders>
            <w:shd w:val="clear" w:color="auto" w:fill="auto"/>
            <w:noWrap/>
            <w:vAlign w:val="bottom"/>
            <w:hideMark/>
          </w:tcPr>
          <w:p w14:paraId="6734E38F" w14:textId="77777777" w:rsidR="00CE7017" w:rsidRPr="00CE7017" w:rsidRDefault="00CE7017" w:rsidP="00CE7017">
            <w:pPr>
              <w:spacing w:after="0" w:line="240" w:lineRule="auto"/>
              <w:rPr>
                <w:rFonts w:ascii="Times New Roman" w:eastAsia="Times New Roman" w:hAnsi="Times New Roman" w:cs="Times New Roman"/>
                <w:color w:val="000000"/>
              </w:rPr>
            </w:pPr>
            <w:r w:rsidRPr="00CE7017">
              <w:rPr>
                <w:rFonts w:ascii="Times New Roman" w:eastAsia="Times New Roman" w:hAnsi="Times New Roman" w:cs="Times New Roman"/>
                <w:color w:val="000000"/>
              </w:rPr>
              <w:t>PU</w:t>
            </w:r>
          </w:p>
        </w:tc>
        <w:tc>
          <w:tcPr>
            <w:tcW w:w="960" w:type="dxa"/>
            <w:tcBorders>
              <w:top w:val="nil"/>
              <w:left w:val="nil"/>
              <w:bottom w:val="nil"/>
              <w:right w:val="nil"/>
            </w:tcBorders>
            <w:shd w:val="clear" w:color="auto" w:fill="auto"/>
            <w:noWrap/>
            <w:vAlign w:val="bottom"/>
            <w:hideMark/>
          </w:tcPr>
          <w:p w14:paraId="730AC022" w14:textId="5EC504D3" w:rsidR="00CE7017" w:rsidRPr="00CE7017" w:rsidRDefault="00CE7017" w:rsidP="00CE7017">
            <w:pPr>
              <w:spacing w:after="0" w:line="240" w:lineRule="auto"/>
              <w:jc w:val="right"/>
              <w:rPr>
                <w:rFonts w:ascii="Times New Roman" w:eastAsia="Times New Roman" w:hAnsi="Times New Roman" w:cs="Times New Roman"/>
                <w:color w:val="000000"/>
              </w:rPr>
            </w:pPr>
            <w:r w:rsidRPr="00CE7017">
              <w:rPr>
                <w:rFonts w:ascii="Times New Roman" w:eastAsia="Times New Roman" w:hAnsi="Times New Roman" w:cs="Times New Roman"/>
                <w:color w:val="000000"/>
              </w:rPr>
              <w:t>0.</w:t>
            </w:r>
            <w:r>
              <w:rPr>
                <w:rFonts w:ascii="Times New Roman" w:eastAsia="Times New Roman" w:hAnsi="Times New Roman" w:cs="Times New Roman"/>
                <w:color w:val="000000"/>
              </w:rPr>
              <w:t>7</w:t>
            </w:r>
            <w:r w:rsidRPr="00CE7017">
              <w:rPr>
                <w:rFonts w:ascii="Times New Roman" w:eastAsia="Times New Roman" w:hAnsi="Times New Roman" w:cs="Times New Roman"/>
                <w:color w:val="000000"/>
              </w:rPr>
              <w:t>74</w:t>
            </w:r>
          </w:p>
        </w:tc>
        <w:tc>
          <w:tcPr>
            <w:tcW w:w="960" w:type="dxa"/>
            <w:tcBorders>
              <w:top w:val="nil"/>
              <w:left w:val="nil"/>
              <w:bottom w:val="nil"/>
              <w:right w:val="nil"/>
            </w:tcBorders>
            <w:shd w:val="clear" w:color="auto" w:fill="auto"/>
            <w:noWrap/>
            <w:vAlign w:val="bottom"/>
            <w:hideMark/>
          </w:tcPr>
          <w:p w14:paraId="7E79DAB9" w14:textId="77777777" w:rsidR="00CE7017" w:rsidRPr="00CE7017" w:rsidRDefault="00CE7017" w:rsidP="00CE7017">
            <w:pPr>
              <w:spacing w:after="0" w:line="240" w:lineRule="auto"/>
              <w:jc w:val="right"/>
              <w:rPr>
                <w:rFonts w:ascii="Times New Roman" w:eastAsia="Times New Roman" w:hAnsi="Times New Roman" w:cs="Times New Roman"/>
                <w:color w:val="000000"/>
              </w:rPr>
            </w:pPr>
            <w:r w:rsidRPr="00CE7017">
              <w:rPr>
                <w:rFonts w:ascii="Times New Roman" w:eastAsia="Times New Roman" w:hAnsi="Times New Roman" w:cs="Times New Roman"/>
                <w:color w:val="000000"/>
              </w:rPr>
              <w:t>0.827</w:t>
            </w:r>
          </w:p>
        </w:tc>
        <w:tc>
          <w:tcPr>
            <w:tcW w:w="960" w:type="dxa"/>
            <w:tcBorders>
              <w:top w:val="nil"/>
              <w:left w:val="nil"/>
              <w:bottom w:val="nil"/>
              <w:right w:val="nil"/>
            </w:tcBorders>
            <w:shd w:val="clear" w:color="auto" w:fill="auto"/>
            <w:noWrap/>
            <w:vAlign w:val="bottom"/>
            <w:hideMark/>
          </w:tcPr>
          <w:p w14:paraId="23C8ED82" w14:textId="77777777" w:rsidR="00CE7017" w:rsidRPr="00CE7017" w:rsidRDefault="00CE7017" w:rsidP="00CE7017">
            <w:pPr>
              <w:spacing w:after="0" w:line="240" w:lineRule="auto"/>
              <w:jc w:val="right"/>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14:paraId="6E4C6945" w14:textId="77777777" w:rsidR="00CE7017" w:rsidRPr="00CE7017" w:rsidRDefault="00CE7017" w:rsidP="00CE701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046F5C21" w14:textId="77777777" w:rsidR="00CE7017" w:rsidRPr="00CE7017" w:rsidRDefault="00CE7017" w:rsidP="00CE7017">
            <w:pPr>
              <w:spacing w:after="0" w:line="240" w:lineRule="auto"/>
              <w:rPr>
                <w:rFonts w:ascii="Times New Roman" w:eastAsia="Times New Roman" w:hAnsi="Times New Roman" w:cs="Times New Roman"/>
              </w:rPr>
            </w:pPr>
          </w:p>
        </w:tc>
      </w:tr>
      <w:tr w:rsidR="00CE7017" w:rsidRPr="00CE7017" w14:paraId="1A716666" w14:textId="77777777" w:rsidTr="00CE7017">
        <w:trPr>
          <w:trHeight w:val="288"/>
        </w:trPr>
        <w:tc>
          <w:tcPr>
            <w:tcW w:w="709" w:type="dxa"/>
            <w:tcBorders>
              <w:top w:val="nil"/>
              <w:left w:val="nil"/>
              <w:right w:val="nil"/>
            </w:tcBorders>
            <w:shd w:val="clear" w:color="auto" w:fill="auto"/>
            <w:noWrap/>
            <w:vAlign w:val="bottom"/>
            <w:hideMark/>
          </w:tcPr>
          <w:p w14:paraId="649D5CB2" w14:textId="77777777" w:rsidR="00CE7017" w:rsidRPr="00CE7017" w:rsidRDefault="00CE7017" w:rsidP="00CE7017">
            <w:pPr>
              <w:spacing w:after="0" w:line="240" w:lineRule="auto"/>
              <w:rPr>
                <w:rFonts w:ascii="Times New Roman" w:eastAsia="Times New Roman" w:hAnsi="Times New Roman" w:cs="Times New Roman"/>
                <w:color w:val="000000"/>
              </w:rPr>
            </w:pPr>
            <w:r w:rsidRPr="00CE7017">
              <w:rPr>
                <w:rFonts w:ascii="Times New Roman" w:eastAsia="Times New Roman" w:hAnsi="Times New Roman" w:cs="Times New Roman"/>
                <w:color w:val="000000"/>
              </w:rPr>
              <w:t>SF</w:t>
            </w:r>
          </w:p>
        </w:tc>
        <w:tc>
          <w:tcPr>
            <w:tcW w:w="960" w:type="dxa"/>
            <w:tcBorders>
              <w:top w:val="nil"/>
              <w:left w:val="nil"/>
              <w:right w:val="nil"/>
            </w:tcBorders>
            <w:shd w:val="clear" w:color="auto" w:fill="auto"/>
            <w:noWrap/>
            <w:vAlign w:val="bottom"/>
            <w:hideMark/>
          </w:tcPr>
          <w:p w14:paraId="03F9FDBF" w14:textId="6DDDC262" w:rsidR="00CE7017" w:rsidRPr="00CE7017" w:rsidRDefault="00CE7017" w:rsidP="00CE7017">
            <w:pPr>
              <w:spacing w:after="0" w:line="240" w:lineRule="auto"/>
              <w:jc w:val="right"/>
              <w:rPr>
                <w:rFonts w:ascii="Times New Roman" w:eastAsia="Times New Roman" w:hAnsi="Times New Roman" w:cs="Times New Roman"/>
                <w:color w:val="000000"/>
              </w:rPr>
            </w:pPr>
            <w:r w:rsidRPr="00CE7017">
              <w:rPr>
                <w:rFonts w:ascii="Times New Roman" w:eastAsia="Times New Roman" w:hAnsi="Times New Roman" w:cs="Times New Roman"/>
                <w:color w:val="000000"/>
              </w:rPr>
              <w:t>0.</w:t>
            </w:r>
            <w:r>
              <w:rPr>
                <w:rFonts w:ascii="Times New Roman" w:eastAsia="Times New Roman" w:hAnsi="Times New Roman" w:cs="Times New Roman"/>
                <w:color w:val="000000"/>
              </w:rPr>
              <w:t>7</w:t>
            </w:r>
            <w:r w:rsidRPr="00CE7017">
              <w:rPr>
                <w:rFonts w:ascii="Times New Roman" w:eastAsia="Times New Roman" w:hAnsi="Times New Roman" w:cs="Times New Roman"/>
                <w:color w:val="000000"/>
              </w:rPr>
              <w:t>23</w:t>
            </w:r>
          </w:p>
        </w:tc>
        <w:tc>
          <w:tcPr>
            <w:tcW w:w="960" w:type="dxa"/>
            <w:tcBorders>
              <w:top w:val="nil"/>
              <w:left w:val="nil"/>
              <w:right w:val="nil"/>
            </w:tcBorders>
            <w:shd w:val="clear" w:color="auto" w:fill="auto"/>
            <w:noWrap/>
            <w:vAlign w:val="bottom"/>
            <w:hideMark/>
          </w:tcPr>
          <w:p w14:paraId="28883D23" w14:textId="77777777" w:rsidR="00CE7017" w:rsidRPr="00CE7017" w:rsidRDefault="00CE7017" w:rsidP="00CE7017">
            <w:pPr>
              <w:spacing w:after="0" w:line="240" w:lineRule="auto"/>
              <w:jc w:val="right"/>
              <w:rPr>
                <w:rFonts w:ascii="Times New Roman" w:eastAsia="Times New Roman" w:hAnsi="Times New Roman" w:cs="Times New Roman"/>
                <w:color w:val="000000"/>
              </w:rPr>
            </w:pPr>
            <w:r w:rsidRPr="00CE7017">
              <w:rPr>
                <w:rFonts w:ascii="Times New Roman" w:eastAsia="Times New Roman" w:hAnsi="Times New Roman" w:cs="Times New Roman"/>
                <w:color w:val="000000"/>
              </w:rPr>
              <w:t>0.824</w:t>
            </w:r>
          </w:p>
        </w:tc>
        <w:tc>
          <w:tcPr>
            <w:tcW w:w="960" w:type="dxa"/>
            <w:tcBorders>
              <w:top w:val="nil"/>
              <w:left w:val="nil"/>
              <w:right w:val="nil"/>
            </w:tcBorders>
            <w:shd w:val="clear" w:color="auto" w:fill="auto"/>
            <w:noWrap/>
            <w:vAlign w:val="bottom"/>
            <w:hideMark/>
          </w:tcPr>
          <w:p w14:paraId="0D9E3CC3" w14:textId="77777777" w:rsidR="00CE7017" w:rsidRPr="00CE7017" w:rsidRDefault="00CE7017" w:rsidP="00CE7017">
            <w:pPr>
              <w:spacing w:after="0" w:line="240" w:lineRule="auto"/>
              <w:jc w:val="right"/>
              <w:rPr>
                <w:rFonts w:ascii="Times New Roman" w:eastAsia="Times New Roman" w:hAnsi="Times New Roman" w:cs="Times New Roman"/>
                <w:color w:val="000000"/>
              </w:rPr>
            </w:pPr>
            <w:r w:rsidRPr="00CE7017">
              <w:rPr>
                <w:rFonts w:ascii="Times New Roman" w:eastAsia="Times New Roman" w:hAnsi="Times New Roman" w:cs="Times New Roman"/>
                <w:color w:val="000000"/>
              </w:rPr>
              <w:t>0.744</w:t>
            </w:r>
          </w:p>
        </w:tc>
        <w:tc>
          <w:tcPr>
            <w:tcW w:w="960" w:type="dxa"/>
            <w:tcBorders>
              <w:top w:val="nil"/>
              <w:left w:val="nil"/>
              <w:right w:val="nil"/>
            </w:tcBorders>
            <w:shd w:val="clear" w:color="auto" w:fill="auto"/>
            <w:noWrap/>
            <w:vAlign w:val="bottom"/>
            <w:hideMark/>
          </w:tcPr>
          <w:p w14:paraId="0A8DBE8A" w14:textId="77777777" w:rsidR="00CE7017" w:rsidRPr="00CE7017" w:rsidRDefault="00CE7017" w:rsidP="00CE7017">
            <w:pPr>
              <w:spacing w:after="0" w:line="240" w:lineRule="auto"/>
              <w:jc w:val="right"/>
              <w:rPr>
                <w:rFonts w:ascii="Times New Roman" w:eastAsia="Times New Roman" w:hAnsi="Times New Roman" w:cs="Times New Roman"/>
                <w:color w:val="000000"/>
              </w:rPr>
            </w:pPr>
          </w:p>
        </w:tc>
        <w:tc>
          <w:tcPr>
            <w:tcW w:w="960" w:type="dxa"/>
            <w:tcBorders>
              <w:top w:val="nil"/>
              <w:left w:val="nil"/>
              <w:right w:val="nil"/>
            </w:tcBorders>
            <w:shd w:val="clear" w:color="auto" w:fill="auto"/>
            <w:noWrap/>
            <w:vAlign w:val="bottom"/>
            <w:hideMark/>
          </w:tcPr>
          <w:p w14:paraId="7AD3625C" w14:textId="77777777" w:rsidR="00CE7017" w:rsidRPr="00CE7017" w:rsidRDefault="00CE7017" w:rsidP="00CE7017">
            <w:pPr>
              <w:spacing w:after="0" w:line="240" w:lineRule="auto"/>
              <w:rPr>
                <w:rFonts w:ascii="Times New Roman" w:eastAsia="Times New Roman" w:hAnsi="Times New Roman" w:cs="Times New Roman"/>
              </w:rPr>
            </w:pPr>
          </w:p>
        </w:tc>
      </w:tr>
      <w:tr w:rsidR="00CE7017" w:rsidRPr="00CE7017" w14:paraId="4C3FB7D6" w14:textId="77777777" w:rsidTr="00CE7017">
        <w:trPr>
          <w:trHeight w:val="288"/>
        </w:trPr>
        <w:tc>
          <w:tcPr>
            <w:tcW w:w="709" w:type="dxa"/>
            <w:tcBorders>
              <w:top w:val="nil"/>
              <w:left w:val="nil"/>
              <w:bottom w:val="single" w:sz="4" w:space="0" w:color="auto"/>
              <w:right w:val="nil"/>
            </w:tcBorders>
            <w:shd w:val="clear" w:color="auto" w:fill="auto"/>
            <w:noWrap/>
            <w:vAlign w:val="bottom"/>
            <w:hideMark/>
          </w:tcPr>
          <w:p w14:paraId="0B721E04" w14:textId="77777777" w:rsidR="00CE7017" w:rsidRPr="00CE7017" w:rsidRDefault="00CE7017" w:rsidP="00CE7017">
            <w:pPr>
              <w:spacing w:after="0" w:line="240" w:lineRule="auto"/>
              <w:rPr>
                <w:rFonts w:ascii="Times New Roman" w:eastAsia="Times New Roman" w:hAnsi="Times New Roman" w:cs="Times New Roman"/>
                <w:color w:val="000000"/>
              </w:rPr>
            </w:pPr>
            <w:r w:rsidRPr="00CE7017">
              <w:rPr>
                <w:rFonts w:ascii="Times New Roman" w:eastAsia="Times New Roman" w:hAnsi="Times New Roman" w:cs="Times New Roman"/>
                <w:color w:val="000000"/>
              </w:rPr>
              <w:t>TR</w:t>
            </w:r>
          </w:p>
        </w:tc>
        <w:tc>
          <w:tcPr>
            <w:tcW w:w="960" w:type="dxa"/>
            <w:tcBorders>
              <w:top w:val="nil"/>
              <w:left w:val="nil"/>
              <w:bottom w:val="single" w:sz="4" w:space="0" w:color="auto"/>
              <w:right w:val="nil"/>
            </w:tcBorders>
            <w:shd w:val="clear" w:color="auto" w:fill="auto"/>
            <w:noWrap/>
            <w:vAlign w:val="bottom"/>
            <w:hideMark/>
          </w:tcPr>
          <w:p w14:paraId="33F63374" w14:textId="670D86DB" w:rsidR="00CE7017" w:rsidRPr="00CE7017" w:rsidRDefault="00CE7017" w:rsidP="00CE7017">
            <w:pPr>
              <w:spacing w:after="0" w:line="240" w:lineRule="auto"/>
              <w:jc w:val="right"/>
              <w:rPr>
                <w:rFonts w:ascii="Times New Roman" w:eastAsia="Times New Roman" w:hAnsi="Times New Roman" w:cs="Times New Roman"/>
                <w:color w:val="000000"/>
              </w:rPr>
            </w:pPr>
            <w:r w:rsidRPr="00CE7017">
              <w:rPr>
                <w:rFonts w:ascii="Times New Roman" w:eastAsia="Times New Roman" w:hAnsi="Times New Roman" w:cs="Times New Roman"/>
                <w:color w:val="000000"/>
              </w:rPr>
              <w:t>0.</w:t>
            </w:r>
            <w:r>
              <w:rPr>
                <w:rFonts w:ascii="Times New Roman" w:eastAsia="Times New Roman" w:hAnsi="Times New Roman" w:cs="Times New Roman"/>
                <w:color w:val="000000"/>
              </w:rPr>
              <w:t>81</w:t>
            </w:r>
            <w:r w:rsidRPr="00CE7017">
              <w:rPr>
                <w:rFonts w:ascii="Times New Roman" w:eastAsia="Times New Roman" w:hAnsi="Times New Roman" w:cs="Times New Roman"/>
                <w:color w:val="000000"/>
              </w:rPr>
              <w:t>4</w:t>
            </w:r>
          </w:p>
        </w:tc>
        <w:tc>
          <w:tcPr>
            <w:tcW w:w="960" w:type="dxa"/>
            <w:tcBorders>
              <w:top w:val="nil"/>
              <w:left w:val="nil"/>
              <w:bottom w:val="single" w:sz="4" w:space="0" w:color="auto"/>
              <w:right w:val="nil"/>
            </w:tcBorders>
            <w:shd w:val="clear" w:color="auto" w:fill="auto"/>
            <w:noWrap/>
            <w:vAlign w:val="bottom"/>
            <w:hideMark/>
          </w:tcPr>
          <w:p w14:paraId="0720C53B" w14:textId="21C9ADEB" w:rsidR="00CE7017" w:rsidRPr="00CE7017" w:rsidRDefault="00CE7017" w:rsidP="00CE7017">
            <w:pPr>
              <w:spacing w:after="0" w:line="240" w:lineRule="auto"/>
              <w:jc w:val="right"/>
              <w:rPr>
                <w:rFonts w:ascii="Times New Roman" w:eastAsia="Times New Roman" w:hAnsi="Times New Roman" w:cs="Times New Roman"/>
                <w:color w:val="000000"/>
              </w:rPr>
            </w:pPr>
            <w:r w:rsidRPr="00CE7017">
              <w:rPr>
                <w:rFonts w:ascii="Times New Roman" w:eastAsia="Times New Roman" w:hAnsi="Times New Roman" w:cs="Times New Roman"/>
                <w:color w:val="000000"/>
              </w:rPr>
              <w:t>0.</w:t>
            </w:r>
            <w:r>
              <w:rPr>
                <w:rFonts w:ascii="Times New Roman" w:eastAsia="Times New Roman" w:hAnsi="Times New Roman" w:cs="Times New Roman"/>
                <w:color w:val="000000"/>
              </w:rPr>
              <w:t>7</w:t>
            </w:r>
            <w:r w:rsidRPr="00CE7017">
              <w:rPr>
                <w:rFonts w:ascii="Times New Roman" w:eastAsia="Times New Roman" w:hAnsi="Times New Roman" w:cs="Times New Roman"/>
                <w:color w:val="000000"/>
              </w:rPr>
              <w:t>73</w:t>
            </w:r>
          </w:p>
        </w:tc>
        <w:tc>
          <w:tcPr>
            <w:tcW w:w="960" w:type="dxa"/>
            <w:tcBorders>
              <w:top w:val="nil"/>
              <w:left w:val="nil"/>
              <w:bottom w:val="single" w:sz="4" w:space="0" w:color="auto"/>
              <w:right w:val="nil"/>
            </w:tcBorders>
            <w:shd w:val="clear" w:color="auto" w:fill="auto"/>
            <w:noWrap/>
            <w:vAlign w:val="bottom"/>
            <w:hideMark/>
          </w:tcPr>
          <w:p w14:paraId="0F3B24FB" w14:textId="1A2C0D6F" w:rsidR="00CE7017" w:rsidRPr="00CE7017" w:rsidRDefault="00CE7017" w:rsidP="00CE7017">
            <w:pPr>
              <w:spacing w:after="0" w:line="240" w:lineRule="auto"/>
              <w:jc w:val="right"/>
              <w:rPr>
                <w:rFonts w:ascii="Times New Roman" w:eastAsia="Times New Roman" w:hAnsi="Times New Roman" w:cs="Times New Roman"/>
                <w:color w:val="000000"/>
              </w:rPr>
            </w:pPr>
            <w:r w:rsidRPr="00CE7017">
              <w:rPr>
                <w:rFonts w:ascii="Times New Roman" w:eastAsia="Times New Roman" w:hAnsi="Times New Roman" w:cs="Times New Roman"/>
                <w:color w:val="000000"/>
              </w:rPr>
              <w:t>0.</w:t>
            </w:r>
            <w:r>
              <w:rPr>
                <w:rFonts w:ascii="Times New Roman" w:eastAsia="Times New Roman" w:hAnsi="Times New Roman" w:cs="Times New Roman"/>
                <w:color w:val="000000"/>
              </w:rPr>
              <w:t>7</w:t>
            </w:r>
            <w:r w:rsidRPr="00CE7017">
              <w:rPr>
                <w:rFonts w:ascii="Times New Roman" w:eastAsia="Times New Roman" w:hAnsi="Times New Roman" w:cs="Times New Roman"/>
                <w:color w:val="000000"/>
              </w:rPr>
              <w:t>48</w:t>
            </w:r>
          </w:p>
        </w:tc>
        <w:tc>
          <w:tcPr>
            <w:tcW w:w="960" w:type="dxa"/>
            <w:tcBorders>
              <w:top w:val="nil"/>
              <w:left w:val="nil"/>
              <w:bottom w:val="single" w:sz="4" w:space="0" w:color="auto"/>
              <w:right w:val="nil"/>
            </w:tcBorders>
            <w:shd w:val="clear" w:color="auto" w:fill="auto"/>
            <w:noWrap/>
            <w:vAlign w:val="bottom"/>
            <w:hideMark/>
          </w:tcPr>
          <w:p w14:paraId="6B065BAA" w14:textId="77777777" w:rsidR="00CE7017" w:rsidRPr="00CE7017" w:rsidRDefault="00CE7017" w:rsidP="00CE7017">
            <w:pPr>
              <w:spacing w:after="0" w:line="240" w:lineRule="auto"/>
              <w:jc w:val="right"/>
              <w:rPr>
                <w:rFonts w:ascii="Times New Roman" w:eastAsia="Times New Roman" w:hAnsi="Times New Roman" w:cs="Times New Roman"/>
                <w:color w:val="000000"/>
              </w:rPr>
            </w:pPr>
            <w:r w:rsidRPr="00CE7017">
              <w:rPr>
                <w:rFonts w:ascii="Times New Roman" w:eastAsia="Times New Roman" w:hAnsi="Times New Roman" w:cs="Times New Roman"/>
                <w:color w:val="000000"/>
              </w:rPr>
              <w:t>0.833</w:t>
            </w:r>
          </w:p>
        </w:tc>
        <w:tc>
          <w:tcPr>
            <w:tcW w:w="960" w:type="dxa"/>
            <w:tcBorders>
              <w:top w:val="nil"/>
              <w:left w:val="nil"/>
              <w:bottom w:val="single" w:sz="4" w:space="0" w:color="auto"/>
              <w:right w:val="nil"/>
            </w:tcBorders>
            <w:shd w:val="clear" w:color="auto" w:fill="auto"/>
            <w:noWrap/>
            <w:vAlign w:val="bottom"/>
            <w:hideMark/>
          </w:tcPr>
          <w:p w14:paraId="6DF78895" w14:textId="77777777" w:rsidR="00CE7017" w:rsidRPr="00CE7017" w:rsidRDefault="00CE7017" w:rsidP="00CE7017">
            <w:pPr>
              <w:spacing w:after="0" w:line="240" w:lineRule="auto"/>
              <w:jc w:val="right"/>
              <w:rPr>
                <w:rFonts w:ascii="Times New Roman" w:eastAsia="Times New Roman" w:hAnsi="Times New Roman" w:cs="Times New Roman"/>
                <w:color w:val="000000"/>
              </w:rPr>
            </w:pPr>
          </w:p>
        </w:tc>
      </w:tr>
    </w:tbl>
    <w:p w14:paraId="57A48B08" w14:textId="5E7695A2" w:rsidR="00A51C04" w:rsidRPr="007D482F" w:rsidRDefault="007D482F" w:rsidP="00E31239">
      <w:pPr>
        <w:jc w:val="both"/>
        <w:rPr>
          <w:rFonts w:ascii="Times New Roman" w:hAnsi="Times New Roman" w:cs="Times New Roman"/>
          <w:sz w:val="18"/>
          <w:szCs w:val="18"/>
        </w:rPr>
      </w:pPr>
      <w:r w:rsidRPr="007D482F">
        <w:rPr>
          <w:rFonts w:ascii="Times New Roman" w:hAnsi="Times New Roman" w:cs="Times New Roman"/>
          <w:sz w:val="18"/>
          <w:szCs w:val="18"/>
        </w:rPr>
        <w:t>Note: CE=confirmatory expectation; PC=privacy cynicism; PU=perceived usefulness; SF=satisfaction; TR=trust</w:t>
      </w:r>
    </w:p>
    <w:p w14:paraId="76941F08" w14:textId="117D215B" w:rsidR="00CE7017" w:rsidRPr="00D60304" w:rsidRDefault="00CE7017" w:rsidP="00CE7017">
      <w:pPr>
        <w:pStyle w:val="Heading2"/>
        <w:spacing w:after="0"/>
        <w:rPr>
          <w:rStyle w:val="Strong"/>
          <w:b/>
          <w:bCs/>
        </w:rPr>
      </w:pPr>
      <w:r>
        <w:rPr>
          <w:rStyle w:val="Strong"/>
          <w:b/>
          <w:bCs/>
        </w:rPr>
        <w:t>Structural</w:t>
      </w:r>
      <w:r w:rsidRPr="00D60304">
        <w:rPr>
          <w:rStyle w:val="Strong"/>
          <w:b/>
          <w:bCs/>
        </w:rPr>
        <w:t xml:space="preserve"> model estimation</w:t>
      </w:r>
    </w:p>
    <w:p w14:paraId="569B11AD" w14:textId="0DD31570" w:rsidR="00CE7017" w:rsidRPr="00CE7017" w:rsidRDefault="00CE7017" w:rsidP="00CE7017">
      <w:pPr>
        <w:spacing w:after="0"/>
        <w:ind w:firstLine="284"/>
        <w:jc w:val="both"/>
        <w:rPr>
          <w:rFonts w:ascii="Times New Roman" w:hAnsi="Times New Roman" w:cs="Times New Roman"/>
          <w:sz w:val="24"/>
          <w:szCs w:val="24"/>
        </w:rPr>
      </w:pPr>
      <w:r w:rsidRPr="00CE7017">
        <w:rPr>
          <w:rFonts w:ascii="Times New Roman" w:hAnsi="Times New Roman" w:cs="Times New Roman"/>
          <w:sz w:val="24"/>
          <w:szCs w:val="24"/>
        </w:rPr>
        <w:t>Structural model evaluation is related to hypothesis testing of the influence between research variables. The structural model evaluation check is carried out in three stages, namely first checking the absence of multicollinearity between variables with the Inner VIF (Variance Inflated Factor) measure. Inner VIF values below 5 indicate no multicollinearity between variables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{"citationItems":[{"id":"ITEM-1","itemData":{"ISBN":"9783030805180","ISSN":"15317714","abstract":"Structural equation modeling (SEM) has become widespread in educational and psychological research. Its flexibility in addressing complex theoretical models and the proper treatment of measurement error has made it the model of choice for many researchers in the social sciences. Nevertheless, the model imposes some daunting assumptions and restrictions (e.g. normality and relatively large sample sizes) that could discourage practitioners from applying the model. Partial least squares SEM (PLS-SEM) is a nonparametric technique which makes no distributional assumptions and can be estimated with small sample sizes. In this paper a general introduction to PLS-SEM is given and is compared with conventional SEM. Next, step by step procedures, along with R functions, are presented to estimate the model. A data set is analyzed and the outputs are interpreted.","author":[{"dropping-particle":"","family":"Hair","given":"Joseph F.","non-dropping-particle":"","parse-names":false,"suffix":""},{"dropping-particle":"","family":"Hult","given":"G. Thomas M.","non-dropping-particle":"","parse-names":false,"suffix":""},{"dropping-particle":"","family":"Ringle","given":"Christian M.","non-dropping-particle":"","parse-names":false,"suffix":""},{"dropping-particle":"","family":"Sarstedt","given":"Marko","non-dropping-particle":"","parse-names":false,"suffix":""},{"dropping-particle":"","family":"Danks","given":"Nicholas P.","non-dropping-particle":"","parse-names":false,"suffix":""},{"dropping-particle":"","family":"Ray","given":"Soumya","non-dropping-particle":"","parse-names":false,"suffix":""}],"container-title":"Practical Assessment, Research and Evaluation","id":"ITEM-1","issue":"1","issued":{"date-parts":[["2021"]]},"number-of-pages":"1-197","title":"Partial Least Squares Structural Equation Modeling (PLS-SEM) Using R","type":"book","volume":"21"},"uris":["http://www.mendeley.com/documents/?uuid=d5bd2e79-1f03-423e-ba5c-a4d6a33cd6b8"]}],"mendeley":{"formattedCitation":"(Hair et al., 2021)","plainTextFormattedCitation":"(Hair et al., 2021)","previouslyFormattedCitation":"(Hair et al., 2021)"},"properties":{"noteIndex":0},"schema":"https://github.com/citation-style-language/schema/raw/master/csl-citation.json"}</w:instrText>
      </w:r>
      <w:r>
        <w:rPr>
          <w:rFonts w:ascii="Times New Roman" w:hAnsi="Times New Roman" w:cs="Times New Roman"/>
          <w:sz w:val="24"/>
          <w:szCs w:val="24"/>
        </w:rPr>
        <w:fldChar w:fldCharType="separate"/>
      </w:r>
      <w:r w:rsidRPr="00CE7017">
        <w:rPr>
          <w:rFonts w:ascii="Times New Roman" w:hAnsi="Times New Roman" w:cs="Times New Roman"/>
          <w:noProof/>
          <w:sz w:val="24"/>
          <w:szCs w:val="24"/>
        </w:rPr>
        <w:t>(Hair et al., 2021)</w:t>
      </w:r>
      <w:r>
        <w:rPr>
          <w:rFonts w:ascii="Times New Roman" w:hAnsi="Times New Roman" w:cs="Times New Roman"/>
          <w:sz w:val="24"/>
          <w:szCs w:val="24"/>
        </w:rPr>
        <w:fldChar w:fldCharType="end"/>
      </w:r>
      <w:r w:rsidRPr="00CE7017">
        <w:rPr>
          <w:rFonts w:ascii="Times New Roman" w:hAnsi="Times New Roman" w:cs="Times New Roman"/>
          <w:sz w:val="24"/>
          <w:szCs w:val="24"/>
        </w:rPr>
        <w:t xml:space="preserve">. </w:t>
      </w:r>
    </w:p>
    <w:p w14:paraId="6DC19968" w14:textId="17DFDC6C" w:rsidR="00B65EA3" w:rsidRPr="00CE7017" w:rsidRDefault="00CE7017" w:rsidP="00CE7017">
      <w:pPr>
        <w:spacing w:after="0"/>
        <w:ind w:firstLine="284"/>
        <w:jc w:val="both"/>
        <w:rPr>
          <w:rFonts w:ascii="Times New Roman" w:hAnsi="Times New Roman" w:cs="Times New Roman"/>
          <w:sz w:val="24"/>
          <w:szCs w:val="24"/>
        </w:rPr>
      </w:pPr>
      <w:r w:rsidRPr="00CE7017">
        <w:rPr>
          <w:rFonts w:ascii="Times New Roman" w:hAnsi="Times New Roman" w:cs="Times New Roman"/>
          <w:sz w:val="24"/>
          <w:szCs w:val="24"/>
        </w:rPr>
        <w:t>The second is hypothesis testing between variables by looking at the t</w:t>
      </w:r>
      <w:r>
        <w:rPr>
          <w:rFonts w:ascii="Times New Roman" w:hAnsi="Times New Roman" w:cs="Times New Roman"/>
          <w:sz w:val="24"/>
          <w:szCs w:val="24"/>
        </w:rPr>
        <w:t>-</w:t>
      </w:r>
      <w:r w:rsidRPr="00CE7017">
        <w:rPr>
          <w:rFonts w:ascii="Times New Roman" w:hAnsi="Times New Roman" w:cs="Times New Roman"/>
          <w:sz w:val="24"/>
          <w:szCs w:val="24"/>
        </w:rPr>
        <w:t>statistical value or p-value</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{"citationItems":[{"id":"ITEM-1","itemData":{"ISBN":"9783030805180","ISSN":"15317714","abstract":"Structural equation modeling (SEM) has become widespread in educational and psychological research. Its flexibility in addressing complex theoretical models and the proper treatment of measurement error has made it the model of choice for many researchers in the social sciences. Nevertheless, the model imposes some daunting assumptions and restrictions (e.g. normality and relatively large sample sizes) that could discourage practitioners from applying the model. Partial least squares SEM (PLS-SEM) is a nonparametric technique which makes no distributional assumptions and can be estimated with small sample sizes. In this paper a general introduction to PLS-SEM is given and is compared with conventional SEM. Next, step by step procedures, along with R functions, are presented to estimate the model. A data set is analyzed and the outputs are interpreted.","author":[{"dropping-particle":"","family":"Hair","given":"Joseph F.","non-dropping-particle":"","parse-names":false,"suffix":""},{"dropping-particle":"","family":"Hult","given":"G. Thomas M.","non-dropping-particle":"","parse-names":false,"suffix":""},{"dropping-particle":"","family":"Ringle","given":"Christian M.","non-dropping-particle":"","parse-names":false,"suffix":""},{"dropping-particle":"","family":"Sarstedt","given":"Marko","non-dropping-particle":"","parse-names":false,"suffix":""},{"dropping-particle":"","family":"Danks","given":"Nicholas P.","non-dropping-particle":"","parse-names":false,"suffix":""},{"dropping-particle":"","family":"Ray","given":"Soumya","non-dropping-particle":"","parse-names":false,"suffix":""}],"container-title":"Practical Assessment, Research and Evaluation","id":"ITEM-1","issue":"1","issued":{"date-parts":[["2021"]]},"number-of-pages":"1-197","title":"Partial Least Squares Structural Equation Modeling (PLS-SEM) Using R","type":"book","volume":"21"},"uris":["http://www.mendeley.com/documents/?uuid=d5bd2e79-1f03-423e-ba5c-a4d6a33cd6b8"]}],"mendeley":{"formattedCitation":"(Hair et al., 2021)","plainTextFormattedCitation":"(Hair et al., 2021)","previouslyFormattedCitation":"(Hair et al., 2021)"},"properties":{"noteIndex":0},"schema":"https://github.com/citation-style-language/schema/raw/master/csl-citation.json"}</w:instrText>
      </w:r>
      <w:r>
        <w:rPr>
          <w:rFonts w:ascii="Times New Roman" w:hAnsi="Times New Roman" w:cs="Times New Roman"/>
          <w:sz w:val="24"/>
          <w:szCs w:val="24"/>
        </w:rPr>
        <w:fldChar w:fldCharType="separate"/>
      </w:r>
      <w:r w:rsidRPr="00CE7017">
        <w:rPr>
          <w:rFonts w:ascii="Times New Roman" w:hAnsi="Times New Roman" w:cs="Times New Roman"/>
          <w:noProof/>
          <w:sz w:val="24"/>
          <w:szCs w:val="24"/>
        </w:rPr>
        <w:t>(Hair et al., 2021)</w:t>
      </w:r>
      <w:r>
        <w:rPr>
          <w:rFonts w:ascii="Times New Roman" w:hAnsi="Times New Roman" w:cs="Times New Roman"/>
          <w:sz w:val="24"/>
          <w:szCs w:val="24"/>
        </w:rPr>
        <w:fldChar w:fldCharType="end"/>
      </w:r>
      <w:r w:rsidRPr="00CE7017">
        <w:rPr>
          <w:rFonts w:ascii="Times New Roman" w:hAnsi="Times New Roman" w:cs="Times New Roman"/>
          <w:sz w:val="24"/>
          <w:szCs w:val="24"/>
        </w:rPr>
        <w:t xml:space="preserve">. </w:t>
      </w:r>
      <w:r>
        <w:rPr>
          <w:rFonts w:ascii="Times New Roman" w:hAnsi="Times New Roman" w:cs="Times New Roman"/>
          <w:sz w:val="24"/>
          <w:szCs w:val="24"/>
        </w:rPr>
        <w:t>Suppose the t statistic calculated is greater than 1.96 (t table), or the p-value of the test results is less than 0.05. In that case</w:t>
      </w:r>
      <w:r w:rsidRPr="00CE7017">
        <w:rPr>
          <w:rFonts w:ascii="Times New Roman" w:hAnsi="Times New Roman" w:cs="Times New Roman"/>
          <w:sz w:val="24"/>
          <w:szCs w:val="24"/>
        </w:rPr>
        <w:t>, there is a significant influence between the variables. In addition, it is necessary to convey the results and 95% confidence interval of the estimated path coefficient parameter. The third is the f square value, namely the effect of variables at the structural level with criteria (f square 0.02 is low, 0.15 is moderate and 0.35 is high)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B03934">
        <w:rPr>
          <w:rFonts w:ascii="Times New Roman" w:hAnsi="Times New Roman" w:cs="Times New Roman"/>
          <w:sz w:val="24"/>
          <w:szCs w:val="24"/>
        </w:rPr>
        <w:instrText>ADDIN CSL_CITATION {"citationItems":[{"id":"ITEM-1","itemData":{"ISBN":"9783030805180","ISSN":"15317714","abstract":"Structural equation modeling (SEM) has become widespread in educational and psychological research. Its flexibility in addressing complex theoretical models and the proper treatment of measurement error has made it the model of choice for many researchers in the social sciences. Nevertheless, the model imposes some daunting assumptions and restrictions (e.g. normality and relatively large sample sizes) that could discourage practitioners from applying the model. Partial least squares SEM (PLS-SEM) is a nonparametric technique which makes no distributional assumptions and can be estimated with small sample sizes. In this paper a general introduction to PLS-SEM is given and is compared with conventional SEM. Next, step by step procedures, along with R functions, are presented to estimate the model. A data set is analyzed and the outputs are interpreted.","author":[{"dropping-particle":"","family":"Hair","given":"Joseph F.","non-dropping-particle":"","parse-names":false,"suffix":""},{"dropping-particle":"","family":"Hult","given":"G. Thomas M.","non-dropping-particle":"","parse-names":false,"suffix":""},{"dropping-particle":"","family":"Ringle","given":"Christian M.","non-dropping-particle":"","parse-names":false,"suffix":""},{"dropping-particle":"","family":"Sarstedt","given":"Marko","non-dropping-particle":"","parse-names":false,"suffix":""},{"dropping-particle":"","family":"Danks","given":"Nicholas P.","non-dropping-particle":"","parse-names":false,"suffix":""},{"dropping-particle":"","family":"Ray","given":"Soumya","non-dropping-particle":"","parse-names":false,"suffix":""}],"container-title":"Practical Assessment, Research and Evaluation","id":"ITEM-1","issue":"1","issued":{"date-parts":[["2021"]]},"number-of-pages":"1-197","title":"Partial Least Squares Structural Equation Modeling (PLS-SEM) Using R","type":"book","volume":"21"},"uris":["http://www.mendeley.com/documents/?uuid=d5bd2e79-1f03-423e-ba5c-a4d6a33cd6b8"]}],"mendeley":{"formattedCitation":"(Hair et al., 2021)","plainTextFormattedCitation":"(Hair et al., 2021)","previouslyFormattedCitation":"(Hair et al., 2021)"},"properties":{"noteIndex":0},"schema":"https://github.com/citation-style-language/schema/raw/master/csl-citation.json"}</w:instrText>
      </w:r>
      <w:r>
        <w:rPr>
          <w:rFonts w:ascii="Times New Roman" w:hAnsi="Times New Roman" w:cs="Times New Roman"/>
          <w:sz w:val="24"/>
          <w:szCs w:val="24"/>
        </w:rPr>
        <w:fldChar w:fldCharType="separate"/>
      </w:r>
      <w:r w:rsidRPr="00CE7017">
        <w:rPr>
          <w:rFonts w:ascii="Times New Roman" w:hAnsi="Times New Roman" w:cs="Times New Roman"/>
          <w:noProof/>
          <w:sz w:val="24"/>
          <w:szCs w:val="24"/>
        </w:rPr>
        <w:t>(Hair et al.,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E7017">
        <w:rPr>
          <w:rFonts w:ascii="Times New Roman" w:hAnsi="Times New Roman" w:cs="Times New Roman"/>
          <w:sz w:val="24"/>
          <w:szCs w:val="24"/>
        </w:rPr>
        <w:t xml:space="preserve">The three stages are shown in </w:t>
      </w:r>
      <w:r>
        <w:rPr>
          <w:rFonts w:ascii="Times New Roman" w:hAnsi="Times New Roman" w:cs="Times New Roman"/>
          <w:sz w:val="24"/>
          <w:szCs w:val="24"/>
        </w:rPr>
        <w:t>T</w:t>
      </w:r>
      <w:r w:rsidRPr="00CE7017">
        <w:rPr>
          <w:rFonts w:ascii="Times New Roman" w:hAnsi="Times New Roman" w:cs="Times New Roman"/>
          <w:sz w:val="24"/>
          <w:szCs w:val="24"/>
        </w:rPr>
        <w:t>ables 4</w:t>
      </w:r>
      <w:r>
        <w:rPr>
          <w:rFonts w:ascii="Times New Roman" w:hAnsi="Times New Roman" w:cs="Times New Roman"/>
          <w:sz w:val="24"/>
          <w:szCs w:val="24"/>
        </w:rPr>
        <w:t xml:space="preserve"> and </w:t>
      </w:r>
      <w:r w:rsidRPr="00CE7017">
        <w:rPr>
          <w:rFonts w:ascii="Times New Roman" w:hAnsi="Times New Roman" w:cs="Times New Roman"/>
          <w:sz w:val="24"/>
          <w:szCs w:val="24"/>
        </w:rPr>
        <w:t>5.</w:t>
      </w:r>
    </w:p>
    <w:p w14:paraId="31AE7DDF" w14:textId="77777777" w:rsidR="00CE7017" w:rsidRDefault="00CE7017" w:rsidP="00CE7017">
      <w:pPr>
        <w:spacing w:after="0"/>
        <w:jc w:val="both"/>
        <w:rPr>
          <w:rFonts w:ascii="Times New Roman" w:hAnsi="Times New Roman" w:cs="Times New Roman"/>
        </w:rPr>
      </w:pPr>
    </w:p>
    <w:p w14:paraId="1B8EB9AC" w14:textId="62A010B9" w:rsidR="00CE7017" w:rsidRPr="00CE7017" w:rsidRDefault="00CE7017" w:rsidP="00CE7017">
      <w:pPr>
        <w:spacing w:after="0"/>
        <w:jc w:val="both"/>
        <w:rPr>
          <w:rFonts w:ascii="Times New Roman" w:hAnsi="Times New Roman" w:cs="Times New Roman"/>
        </w:rPr>
      </w:pPr>
      <w:r w:rsidRPr="00CE7017">
        <w:rPr>
          <w:rFonts w:ascii="Times New Roman" w:hAnsi="Times New Roman" w:cs="Times New Roman"/>
        </w:rPr>
        <w:t>Table 4. Collinearity VIF</w:t>
      </w:r>
    </w:p>
    <w:tbl>
      <w:tblPr>
        <w:tblW w:w="5760" w:type="dxa"/>
        <w:tblLook w:val="04A0" w:firstRow="1" w:lastRow="0" w:firstColumn="1" w:lastColumn="0" w:noHBand="0" w:noVBand="1"/>
      </w:tblPr>
      <w:tblGrid>
        <w:gridCol w:w="960"/>
        <w:gridCol w:w="960"/>
        <w:gridCol w:w="960"/>
        <w:gridCol w:w="960"/>
        <w:gridCol w:w="960"/>
        <w:gridCol w:w="960"/>
      </w:tblGrid>
      <w:tr w:rsidR="00CE7017" w:rsidRPr="00CE7017" w14:paraId="669CD2B7" w14:textId="77777777" w:rsidTr="00CE7017">
        <w:trPr>
          <w:trHeight w:val="288"/>
        </w:trPr>
        <w:tc>
          <w:tcPr>
            <w:tcW w:w="960" w:type="dxa"/>
            <w:tcBorders>
              <w:top w:val="single" w:sz="4" w:space="0" w:color="auto"/>
              <w:left w:val="nil"/>
              <w:bottom w:val="single" w:sz="4" w:space="0" w:color="auto"/>
              <w:right w:val="nil"/>
            </w:tcBorders>
            <w:shd w:val="clear" w:color="auto" w:fill="auto"/>
            <w:noWrap/>
            <w:vAlign w:val="bottom"/>
            <w:hideMark/>
          </w:tcPr>
          <w:p w14:paraId="41ADF601" w14:textId="77777777" w:rsidR="00CE7017" w:rsidRPr="00CE7017" w:rsidRDefault="00CE7017" w:rsidP="00CE7017">
            <w:pPr>
              <w:spacing w:after="0" w:line="240" w:lineRule="auto"/>
              <w:rPr>
                <w:rFonts w:ascii="Times New Roman" w:eastAsia="Times New Roman" w:hAnsi="Times New Roman" w:cs="Times New Roman"/>
                <w:color w:val="000000"/>
              </w:rPr>
            </w:pPr>
            <w:r w:rsidRPr="00CE7017">
              <w:rPr>
                <w:rFonts w:ascii="Times New Roman" w:eastAsia="Times New Roman" w:hAnsi="Times New Roman" w:cs="Times New Roman"/>
                <w:color w:val="000000"/>
              </w:rPr>
              <w:t> </w:t>
            </w:r>
          </w:p>
        </w:tc>
        <w:tc>
          <w:tcPr>
            <w:tcW w:w="960" w:type="dxa"/>
            <w:tcBorders>
              <w:top w:val="single" w:sz="4" w:space="0" w:color="auto"/>
              <w:left w:val="nil"/>
              <w:bottom w:val="single" w:sz="4" w:space="0" w:color="auto"/>
              <w:right w:val="nil"/>
            </w:tcBorders>
            <w:shd w:val="clear" w:color="auto" w:fill="auto"/>
            <w:noWrap/>
            <w:vAlign w:val="bottom"/>
            <w:hideMark/>
          </w:tcPr>
          <w:p w14:paraId="49C355BC" w14:textId="77777777" w:rsidR="00CE7017" w:rsidRPr="00CE7017" w:rsidRDefault="00CE7017" w:rsidP="00560739">
            <w:pPr>
              <w:spacing w:after="0" w:line="240" w:lineRule="auto"/>
              <w:jc w:val="center"/>
              <w:rPr>
                <w:rFonts w:ascii="Times New Roman" w:eastAsia="Times New Roman" w:hAnsi="Times New Roman" w:cs="Times New Roman"/>
                <w:color w:val="000000"/>
              </w:rPr>
            </w:pPr>
            <w:r w:rsidRPr="00CE7017">
              <w:rPr>
                <w:rFonts w:ascii="Times New Roman" w:eastAsia="Times New Roman" w:hAnsi="Times New Roman" w:cs="Times New Roman"/>
                <w:color w:val="000000"/>
              </w:rPr>
              <w:t>CE</w:t>
            </w:r>
          </w:p>
        </w:tc>
        <w:tc>
          <w:tcPr>
            <w:tcW w:w="960" w:type="dxa"/>
            <w:tcBorders>
              <w:top w:val="single" w:sz="4" w:space="0" w:color="auto"/>
              <w:left w:val="nil"/>
              <w:bottom w:val="single" w:sz="4" w:space="0" w:color="auto"/>
              <w:right w:val="nil"/>
            </w:tcBorders>
            <w:shd w:val="clear" w:color="auto" w:fill="auto"/>
            <w:noWrap/>
            <w:vAlign w:val="bottom"/>
            <w:hideMark/>
          </w:tcPr>
          <w:p w14:paraId="65BCF12D" w14:textId="77777777" w:rsidR="00CE7017" w:rsidRPr="00CE7017" w:rsidRDefault="00CE7017" w:rsidP="00560739">
            <w:pPr>
              <w:spacing w:after="0" w:line="240" w:lineRule="auto"/>
              <w:jc w:val="center"/>
              <w:rPr>
                <w:rFonts w:ascii="Times New Roman" w:eastAsia="Times New Roman" w:hAnsi="Times New Roman" w:cs="Times New Roman"/>
                <w:color w:val="000000"/>
              </w:rPr>
            </w:pPr>
            <w:r w:rsidRPr="00CE7017">
              <w:rPr>
                <w:rFonts w:ascii="Times New Roman" w:eastAsia="Times New Roman" w:hAnsi="Times New Roman" w:cs="Times New Roman"/>
                <w:color w:val="000000"/>
              </w:rPr>
              <w:t>PC</w:t>
            </w:r>
          </w:p>
        </w:tc>
        <w:tc>
          <w:tcPr>
            <w:tcW w:w="960" w:type="dxa"/>
            <w:tcBorders>
              <w:top w:val="single" w:sz="4" w:space="0" w:color="auto"/>
              <w:left w:val="nil"/>
              <w:bottom w:val="single" w:sz="4" w:space="0" w:color="auto"/>
              <w:right w:val="nil"/>
            </w:tcBorders>
            <w:shd w:val="clear" w:color="auto" w:fill="auto"/>
            <w:noWrap/>
            <w:vAlign w:val="bottom"/>
            <w:hideMark/>
          </w:tcPr>
          <w:p w14:paraId="1C7D2A0F" w14:textId="77777777" w:rsidR="00CE7017" w:rsidRPr="00CE7017" w:rsidRDefault="00CE7017" w:rsidP="00560739">
            <w:pPr>
              <w:spacing w:after="0" w:line="240" w:lineRule="auto"/>
              <w:jc w:val="center"/>
              <w:rPr>
                <w:rFonts w:ascii="Times New Roman" w:eastAsia="Times New Roman" w:hAnsi="Times New Roman" w:cs="Times New Roman"/>
                <w:color w:val="000000"/>
              </w:rPr>
            </w:pPr>
            <w:r w:rsidRPr="00CE7017">
              <w:rPr>
                <w:rFonts w:ascii="Times New Roman" w:eastAsia="Times New Roman" w:hAnsi="Times New Roman" w:cs="Times New Roman"/>
                <w:color w:val="000000"/>
              </w:rPr>
              <w:t>PU</w:t>
            </w:r>
          </w:p>
        </w:tc>
        <w:tc>
          <w:tcPr>
            <w:tcW w:w="960" w:type="dxa"/>
            <w:tcBorders>
              <w:top w:val="single" w:sz="4" w:space="0" w:color="auto"/>
              <w:left w:val="nil"/>
              <w:bottom w:val="single" w:sz="4" w:space="0" w:color="auto"/>
              <w:right w:val="nil"/>
            </w:tcBorders>
            <w:shd w:val="clear" w:color="auto" w:fill="auto"/>
            <w:noWrap/>
            <w:vAlign w:val="bottom"/>
            <w:hideMark/>
          </w:tcPr>
          <w:p w14:paraId="08C34BB5" w14:textId="77777777" w:rsidR="00CE7017" w:rsidRPr="00CE7017" w:rsidRDefault="00CE7017" w:rsidP="00560739">
            <w:pPr>
              <w:spacing w:after="0" w:line="240" w:lineRule="auto"/>
              <w:jc w:val="center"/>
              <w:rPr>
                <w:rFonts w:ascii="Times New Roman" w:eastAsia="Times New Roman" w:hAnsi="Times New Roman" w:cs="Times New Roman"/>
                <w:color w:val="000000"/>
              </w:rPr>
            </w:pPr>
            <w:r w:rsidRPr="00CE7017">
              <w:rPr>
                <w:rFonts w:ascii="Times New Roman" w:eastAsia="Times New Roman" w:hAnsi="Times New Roman" w:cs="Times New Roman"/>
                <w:color w:val="000000"/>
              </w:rPr>
              <w:t>SF</w:t>
            </w:r>
          </w:p>
        </w:tc>
        <w:tc>
          <w:tcPr>
            <w:tcW w:w="960" w:type="dxa"/>
            <w:tcBorders>
              <w:top w:val="single" w:sz="4" w:space="0" w:color="auto"/>
              <w:left w:val="nil"/>
              <w:bottom w:val="single" w:sz="4" w:space="0" w:color="auto"/>
              <w:right w:val="nil"/>
            </w:tcBorders>
            <w:shd w:val="clear" w:color="auto" w:fill="auto"/>
            <w:noWrap/>
            <w:vAlign w:val="bottom"/>
            <w:hideMark/>
          </w:tcPr>
          <w:p w14:paraId="473C1274" w14:textId="77777777" w:rsidR="00CE7017" w:rsidRPr="00CE7017" w:rsidRDefault="00CE7017" w:rsidP="00560739">
            <w:pPr>
              <w:spacing w:after="0" w:line="240" w:lineRule="auto"/>
              <w:jc w:val="center"/>
              <w:rPr>
                <w:rFonts w:ascii="Times New Roman" w:eastAsia="Times New Roman" w:hAnsi="Times New Roman" w:cs="Times New Roman"/>
                <w:color w:val="000000"/>
              </w:rPr>
            </w:pPr>
            <w:r w:rsidRPr="00CE7017">
              <w:rPr>
                <w:rFonts w:ascii="Times New Roman" w:eastAsia="Times New Roman" w:hAnsi="Times New Roman" w:cs="Times New Roman"/>
                <w:color w:val="000000"/>
              </w:rPr>
              <w:t>TR</w:t>
            </w:r>
          </w:p>
        </w:tc>
      </w:tr>
      <w:tr w:rsidR="00560739" w:rsidRPr="00CE7017" w14:paraId="23ACBF39" w14:textId="77777777" w:rsidTr="00CE7017">
        <w:trPr>
          <w:trHeight w:val="288"/>
        </w:trPr>
        <w:tc>
          <w:tcPr>
            <w:tcW w:w="960" w:type="dxa"/>
            <w:tcBorders>
              <w:top w:val="nil"/>
              <w:left w:val="nil"/>
              <w:bottom w:val="nil"/>
              <w:right w:val="nil"/>
            </w:tcBorders>
            <w:shd w:val="clear" w:color="auto" w:fill="auto"/>
            <w:noWrap/>
            <w:vAlign w:val="bottom"/>
            <w:hideMark/>
          </w:tcPr>
          <w:p w14:paraId="294CA9DF" w14:textId="77777777" w:rsidR="00560739" w:rsidRPr="00CE7017" w:rsidRDefault="00560739" w:rsidP="00560739">
            <w:pPr>
              <w:spacing w:after="0" w:line="240" w:lineRule="auto"/>
              <w:rPr>
                <w:rFonts w:ascii="Times New Roman" w:eastAsia="Times New Roman" w:hAnsi="Times New Roman" w:cs="Times New Roman"/>
                <w:color w:val="000000"/>
              </w:rPr>
            </w:pPr>
            <w:r w:rsidRPr="00CE7017">
              <w:rPr>
                <w:rFonts w:ascii="Times New Roman" w:eastAsia="Times New Roman" w:hAnsi="Times New Roman" w:cs="Times New Roman"/>
                <w:color w:val="000000"/>
              </w:rPr>
              <w:t>CE</w:t>
            </w:r>
          </w:p>
        </w:tc>
        <w:tc>
          <w:tcPr>
            <w:tcW w:w="960" w:type="dxa"/>
            <w:tcBorders>
              <w:top w:val="nil"/>
              <w:left w:val="nil"/>
              <w:bottom w:val="nil"/>
              <w:right w:val="nil"/>
            </w:tcBorders>
            <w:shd w:val="clear" w:color="auto" w:fill="auto"/>
            <w:noWrap/>
            <w:vAlign w:val="bottom"/>
            <w:hideMark/>
          </w:tcPr>
          <w:p w14:paraId="7D1D9F5B" w14:textId="77777777" w:rsidR="00560739" w:rsidRPr="00CE7017" w:rsidRDefault="00560739" w:rsidP="00560739">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14:paraId="747773F8" w14:textId="77777777" w:rsidR="00560739" w:rsidRPr="00CE7017" w:rsidRDefault="00560739" w:rsidP="0056073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5A8F27F" w14:textId="7EFD5308" w:rsidR="00560739" w:rsidRPr="00CE7017" w:rsidRDefault="00560739" w:rsidP="00560739">
            <w:pPr>
              <w:spacing w:after="0" w:line="240" w:lineRule="auto"/>
              <w:jc w:val="center"/>
              <w:rPr>
                <w:rFonts w:ascii="Times New Roman" w:eastAsia="Times New Roman" w:hAnsi="Times New Roman" w:cs="Times New Roman"/>
                <w:color w:val="000000"/>
              </w:rPr>
            </w:pPr>
            <w:r w:rsidRPr="00560739">
              <w:rPr>
                <w:rFonts w:ascii="Times New Roman" w:hAnsi="Times New Roman" w:cs="Times New Roman"/>
                <w:color w:val="000000"/>
              </w:rPr>
              <w:t>1</w:t>
            </w:r>
          </w:p>
        </w:tc>
        <w:tc>
          <w:tcPr>
            <w:tcW w:w="960" w:type="dxa"/>
            <w:tcBorders>
              <w:top w:val="nil"/>
              <w:left w:val="nil"/>
              <w:bottom w:val="nil"/>
              <w:right w:val="nil"/>
            </w:tcBorders>
            <w:shd w:val="clear" w:color="auto" w:fill="auto"/>
            <w:noWrap/>
            <w:vAlign w:val="bottom"/>
            <w:hideMark/>
          </w:tcPr>
          <w:p w14:paraId="5D6BC049" w14:textId="321B5FF4" w:rsidR="00560739" w:rsidRPr="00CE7017" w:rsidRDefault="00560739" w:rsidP="00560739">
            <w:pPr>
              <w:spacing w:after="0" w:line="240" w:lineRule="auto"/>
              <w:jc w:val="center"/>
              <w:rPr>
                <w:rFonts w:ascii="Times New Roman" w:eastAsia="Times New Roman" w:hAnsi="Times New Roman" w:cs="Times New Roman"/>
                <w:color w:val="000000"/>
              </w:rPr>
            </w:pPr>
            <w:r w:rsidRPr="00560739">
              <w:rPr>
                <w:rFonts w:ascii="Times New Roman" w:hAnsi="Times New Roman" w:cs="Times New Roman"/>
                <w:color w:val="000000"/>
              </w:rPr>
              <w:t>4.323</w:t>
            </w:r>
          </w:p>
        </w:tc>
        <w:tc>
          <w:tcPr>
            <w:tcW w:w="960" w:type="dxa"/>
            <w:tcBorders>
              <w:top w:val="nil"/>
              <w:left w:val="nil"/>
              <w:bottom w:val="nil"/>
              <w:right w:val="nil"/>
            </w:tcBorders>
            <w:shd w:val="clear" w:color="auto" w:fill="auto"/>
            <w:noWrap/>
            <w:vAlign w:val="bottom"/>
            <w:hideMark/>
          </w:tcPr>
          <w:p w14:paraId="09BC9BAC" w14:textId="3D449251" w:rsidR="00560739" w:rsidRPr="00CE7017" w:rsidRDefault="00560739" w:rsidP="00560739">
            <w:pPr>
              <w:spacing w:after="0" w:line="240" w:lineRule="auto"/>
              <w:jc w:val="center"/>
              <w:rPr>
                <w:rFonts w:ascii="Times New Roman" w:eastAsia="Times New Roman" w:hAnsi="Times New Roman" w:cs="Times New Roman"/>
                <w:color w:val="000000"/>
              </w:rPr>
            </w:pPr>
            <w:r w:rsidRPr="00560739">
              <w:rPr>
                <w:rFonts w:ascii="Times New Roman" w:hAnsi="Times New Roman" w:cs="Times New Roman"/>
                <w:color w:val="000000"/>
              </w:rPr>
              <w:t>3.867</w:t>
            </w:r>
          </w:p>
        </w:tc>
      </w:tr>
      <w:tr w:rsidR="00560739" w:rsidRPr="00CE7017" w14:paraId="5C2AC395" w14:textId="77777777" w:rsidTr="00CE7017">
        <w:trPr>
          <w:trHeight w:val="288"/>
        </w:trPr>
        <w:tc>
          <w:tcPr>
            <w:tcW w:w="960" w:type="dxa"/>
            <w:tcBorders>
              <w:top w:val="nil"/>
              <w:left w:val="nil"/>
              <w:bottom w:val="nil"/>
              <w:right w:val="nil"/>
            </w:tcBorders>
            <w:shd w:val="clear" w:color="auto" w:fill="auto"/>
            <w:noWrap/>
            <w:vAlign w:val="bottom"/>
            <w:hideMark/>
          </w:tcPr>
          <w:p w14:paraId="3530A7DA" w14:textId="77777777" w:rsidR="00560739" w:rsidRPr="00CE7017" w:rsidRDefault="00560739" w:rsidP="00560739">
            <w:pPr>
              <w:spacing w:after="0" w:line="240" w:lineRule="auto"/>
              <w:rPr>
                <w:rFonts w:ascii="Times New Roman" w:eastAsia="Times New Roman" w:hAnsi="Times New Roman" w:cs="Times New Roman"/>
                <w:color w:val="000000"/>
              </w:rPr>
            </w:pPr>
            <w:r w:rsidRPr="00CE7017">
              <w:rPr>
                <w:rFonts w:ascii="Times New Roman" w:eastAsia="Times New Roman" w:hAnsi="Times New Roman" w:cs="Times New Roman"/>
                <w:color w:val="000000"/>
              </w:rPr>
              <w:t>PC</w:t>
            </w:r>
          </w:p>
        </w:tc>
        <w:tc>
          <w:tcPr>
            <w:tcW w:w="960" w:type="dxa"/>
            <w:tcBorders>
              <w:top w:val="nil"/>
              <w:left w:val="nil"/>
              <w:bottom w:val="nil"/>
              <w:right w:val="nil"/>
            </w:tcBorders>
            <w:shd w:val="clear" w:color="auto" w:fill="auto"/>
            <w:noWrap/>
            <w:vAlign w:val="bottom"/>
            <w:hideMark/>
          </w:tcPr>
          <w:p w14:paraId="26A42E3D" w14:textId="77777777" w:rsidR="00560739" w:rsidRPr="00CE7017" w:rsidRDefault="00560739" w:rsidP="00560739">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14:paraId="038E9E0D" w14:textId="77777777" w:rsidR="00560739" w:rsidRPr="00CE7017" w:rsidRDefault="00560739" w:rsidP="0056073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151FB91" w14:textId="77777777" w:rsidR="00560739" w:rsidRPr="00CE7017" w:rsidRDefault="00560739" w:rsidP="0056073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12CAEEA" w14:textId="4FBE7FDE" w:rsidR="00560739" w:rsidRPr="00CE7017" w:rsidRDefault="00560739" w:rsidP="00560739">
            <w:pPr>
              <w:spacing w:after="0" w:line="240" w:lineRule="auto"/>
              <w:jc w:val="center"/>
              <w:rPr>
                <w:rFonts w:ascii="Times New Roman" w:eastAsia="Times New Roman" w:hAnsi="Times New Roman" w:cs="Times New Roman"/>
                <w:color w:val="000000"/>
              </w:rPr>
            </w:pPr>
            <w:r w:rsidRPr="00560739">
              <w:rPr>
                <w:rFonts w:ascii="Times New Roman" w:hAnsi="Times New Roman" w:cs="Times New Roman"/>
                <w:color w:val="000000"/>
              </w:rPr>
              <w:t>4.84</w:t>
            </w:r>
          </w:p>
        </w:tc>
        <w:tc>
          <w:tcPr>
            <w:tcW w:w="960" w:type="dxa"/>
            <w:tcBorders>
              <w:top w:val="nil"/>
              <w:left w:val="nil"/>
              <w:bottom w:val="nil"/>
              <w:right w:val="nil"/>
            </w:tcBorders>
            <w:shd w:val="clear" w:color="auto" w:fill="auto"/>
            <w:noWrap/>
            <w:vAlign w:val="bottom"/>
            <w:hideMark/>
          </w:tcPr>
          <w:p w14:paraId="7A3EF430" w14:textId="56ABB2EE" w:rsidR="00560739" w:rsidRPr="00CE7017" w:rsidRDefault="00560739" w:rsidP="00560739">
            <w:pPr>
              <w:spacing w:after="0" w:line="240" w:lineRule="auto"/>
              <w:jc w:val="center"/>
              <w:rPr>
                <w:rFonts w:ascii="Times New Roman" w:eastAsia="Times New Roman" w:hAnsi="Times New Roman" w:cs="Times New Roman"/>
                <w:color w:val="000000"/>
              </w:rPr>
            </w:pPr>
            <w:r w:rsidRPr="00560739">
              <w:rPr>
                <w:rFonts w:ascii="Times New Roman" w:hAnsi="Times New Roman" w:cs="Times New Roman"/>
                <w:color w:val="000000"/>
              </w:rPr>
              <w:t>3.728</w:t>
            </w:r>
          </w:p>
        </w:tc>
      </w:tr>
      <w:tr w:rsidR="00560739" w:rsidRPr="00CE7017" w14:paraId="110AB471" w14:textId="77777777" w:rsidTr="00CE7017">
        <w:trPr>
          <w:trHeight w:val="288"/>
        </w:trPr>
        <w:tc>
          <w:tcPr>
            <w:tcW w:w="960" w:type="dxa"/>
            <w:tcBorders>
              <w:top w:val="nil"/>
              <w:left w:val="nil"/>
              <w:bottom w:val="nil"/>
              <w:right w:val="nil"/>
            </w:tcBorders>
            <w:shd w:val="clear" w:color="auto" w:fill="auto"/>
            <w:noWrap/>
            <w:vAlign w:val="bottom"/>
            <w:hideMark/>
          </w:tcPr>
          <w:p w14:paraId="6F9E0591" w14:textId="77777777" w:rsidR="00560739" w:rsidRPr="00CE7017" w:rsidRDefault="00560739" w:rsidP="00560739">
            <w:pPr>
              <w:spacing w:after="0" w:line="240" w:lineRule="auto"/>
              <w:rPr>
                <w:rFonts w:ascii="Times New Roman" w:eastAsia="Times New Roman" w:hAnsi="Times New Roman" w:cs="Times New Roman"/>
                <w:color w:val="000000"/>
              </w:rPr>
            </w:pPr>
            <w:r w:rsidRPr="00CE7017">
              <w:rPr>
                <w:rFonts w:ascii="Times New Roman" w:eastAsia="Times New Roman" w:hAnsi="Times New Roman" w:cs="Times New Roman"/>
                <w:color w:val="000000"/>
              </w:rPr>
              <w:t>PU</w:t>
            </w:r>
          </w:p>
        </w:tc>
        <w:tc>
          <w:tcPr>
            <w:tcW w:w="960" w:type="dxa"/>
            <w:tcBorders>
              <w:top w:val="nil"/>
              <w:left w:val="nil"/>
              <w:bottom w:val="nil"/>
              <w:right w:val="nil"/>
            </w:tcBorders>
            <w:shd w:val="clear" w:color="auto" w:fill="auto"/>
            <w:noWrap/>
            <w:vAlign w:val="bottom"/>
            <w:hideMark/>
          </w:tcPr>
          <w:p w14:paraId="1C486EBC" w14:textId="77777777" w:rsidR="00560739" w:rsidRPr="00CE7017" w:rsidRDefault="00560739" w:rsidP="00560739">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14:paraId="21CCDADF" w14:textId="77777777" w:rsidR="00560739" w:rsidRPr="00CE7017" w:rsidRDefault="00560739" w:rsidP="0056073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F555CF" w14:textId="77777777" w:rsidR="00560739" w:rsidRPr="00CE7017" w:rsidRDefault="00560739" w:rsidP="0056073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0E9B3E6" w14:textId="50E73F56" w:rsidR="00560739" w:rsidRPr="00CE7017" w:rsidRDefault="00560739" w:rsidP="00560739">
            <w:pPr>
              <w:spacing w:after="0" w:line="240" w:lineRule="auto"/>
              <w:jc w:val="center"/>
              <w:rPr>
                <w:rFonts w:ascii="Times New Roman" w:eastAsia="Times New Roman" w:hAnsi="Times New Roman" w:cs="Times New Roman"/>
                <w:color w:val="000000"/>
              </w:rPr>
            </w:pPr>
            <w:r w:rsidRPr="00560739">
              <w:rPr>
                <w:rFonts w:ascii="Times New Roman" w:hAnsi="Times New Roman" w:cs="Times New Roman"/>
                <w:color w:val="000000"/>
              </w:rPr>
              <w:t>2.584</w:t>
            </w:r>
          </w:p>
        </w:tc>
        <w:tc>
          <w:tcPr>
            <w:tcW w:w="960" w:type="dxa"/>
            <w:tcBorders>
              <w:top w:val="nil"/>
              <w:left w:val="nil"/>
              <w:bottom w:val="nil"/>
              <w:right w:val="nil"/>
            </w:tcBorders>
            <w:shd w:val="clear" w:color="auto" w:fill="auto"/>
            <w:noWrap/>
            <w:vAlign w:val="bottom"/>
            <w:hideMark/>
          </w:tcPr>
          <w:p w14:paraId="60A76641" w14:textId="06B329FC" w:rsidR="00560739" w:rsidRPr="00CE7017" w:rsidRDefault="00560739" w:rsidP="00560739">
            <w:pPr>
              <w:spacing w:after="0" w:line="240" w:lineRule="auto"/>
              <w:jc w:val="center"/>
              <w:rPr>
                <w:rFonts w:ascii="Times New Roman" w:eastAsia="Times New Roman" w:hAnsi="Times New Roman" w:cs="Times New Roman"/>
                <w:color w:val="000000"/>
              </w:rPr>
            </w:pPr>
            <w:r w:rsidRPr="00560739">
              <w:rPr>
                <w:rFonts w:ascii="Times New Roman" w:hAnsi="Times New Roman" w:cs="Times New Roman"/>
                <w:color w:val="000000"/>
              </w:rPr>
              <w:t>2.44</w:t>
            </w:r>
          </w:p>
        </w:tc>
      </w:tr>
      <w:tr w:rsidR="00560739" w:rsidRPr="00CE7017" w14:paraId="7B1DA49D" w14:textId="77777777" w:rsidTr="00CE7017">
        <w:trPr>
          <w:trHeight w:val="288"/>
        </w:trPr>
        <w:tc>
          <w:tcPr>
            <w:tcW w:w="960" w:type="dxa"/>
            <w:tcBorders>
              <w:top w:val="nil"/>
              <w:left w:val="nil"/>
              <w:bottom w:val="nil"/>
              <w:right w:val="nil"/>
            </w:tcBorders>
            <w:shd w:val="clear" w:color="auto" w:fill="auto"/>
            <w:noWrap/>
            <w:vAlign w:val="bottom"/>
            <w:hideMark/>
          </w:tcPr>
          <w:p w14:paraId="62B90AF2" w14:textId="77777777" w:rsidR="00560739" w:rsidRPr="00CE7017" w:rsidRDefault="00560739" w:rsidP="00560739">
            <w:pPr>
              <w:spacing w:after="0" w:line="240" w:lineRule="auto"/>
              <w:rPr>
                <w:rFonts w:ascii="Times New Roman" w:eastAsia="Times New Roman" w:hAnsi="Times New Roman" w:cs="Times New Roman"/>
                <w:color w:val="000000"/>
              </w:rPr>
            </w:pPr>
            <w:r w:rsidRPr="00CE7017">
              <w:rPr>
                <w:rFonts w:ascii="Times New Roman" w:eastAsia="Times New Roman" w:hAnsi="Times New Roman" w:cs="Times New Roman"/>
                <w:color w:val="000000"/>
              </w:rPr>
              <w:t>SF</w:t>
            </w:r>
          </w:p>
        </w:tc>
        <w:tc>
          <w:tcPr>
            <w:tcW w:w="960" w:type="dxa"/>
            <w:tcBorders>
              <w:top w:val="nil"/>
              <w:left w:val="nil"/>
              <w:bottom w:val="nil"/>
              <w:right w:val="nil"/>
            </w:tcBorders>
            <w:shd w:val="clear" w:color="auto" w:fill="auto"/>
            <w:noWrap/>
            <w:vAlign w:val="bottom"/>
            <w:hideMark/>
          </w:tcPr>
          <w:p w14:paraId="6FE5D315" w14:textId="77777777" w:rsidR="00560739" w:rsidRPr="00CE7017" w:rsidRDefault="00560739" w:rsidP="00560739">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14:paraId="5EDFBF6B" w14:textId="77777777" w:rsidR="00560739" w:rsidRPr="00CE7017" w:rsidRDefault="00560739" w:rsidP="0056073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8BF5033" w14:textId="77777777" w:rsidR="00560739" w:rsidRPr="00CE7017" w:rsidRDefault="00560739" w:rsidP="0056073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E7496AE" w14:textId="77777777" w:rsidR="00560739" w:rsidRPr="00CE7017" w:rsidRDefault="00560739" w:rsidP="0056073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9C58F78" w14:textId="77777777" w:rsidR="00560739" w:rsidRPr="00CE7017" w:rsidRDefault="00560739" w:rsidP="00560739">
            <w:pPr>
              <w:spacing w:after="0" w:line="240" w:lineRule="auto"/>
              <w:jc w:val="center"/>
              <w:rPr>
                <w:rFonts w:ascii="Times New Roman" w:eastAsia="Times New Roman" w:hAnsi="Times New Roman" w:cs="Times New Roman"/>
                <w:sz w:val="20"/>
                <w:szCs w:val="20"/>
              </w:rPr>
            </w:pPr>
          </w:p>
        </w:tc>
      </w:tr>
      <w:tr w:rsidR="00560739" w:rsidRPr="00CE7017" w14:paraId="7B76FE57" w14:textId="77777777" w:rsidTr="00CE7017">
        <w:trPr>
          <w:trHeight w:val="288"/>
        </w:trPr>
        <w:tc>
          <w:tcPr>
            <w:tcW w:w="960" w:type="dxa"/>
            <w:tcBorders>
              <w:top w:val="nil"/>
              <w:left w:val="nil"/>
              <w:bottom w:val="single" w:sz="4" w:space="0" w:color="auto"/>
              <w:right w:val="nil"/>
            </w:tcBorders>
            <w:shd w:val="clear" w:color="auto" w:fill="auto"/>
            <w:noWrap/>
            <w:vAlign w:val="bottom"/>
            <w:hideMark/>
          </w:tcPr>
          <w:p w14:paraId="3B4119D0" w14:textId="77777777" w:rsidR="00560739" w:rsidRPr="00CE7017" w:rsidRDefault="00560739" w:rsidP="00560739">
            <w:pPr>
              <w:spacing w:after="0" w:line="240" w:lineRule="auto"/>
              <w:rPr>
                <w:rFonts w:ascii="Times New Roman" w:eastAsia="Times New Roman" w:hAnsi="Times New Roman" w:cs="Times New Roman"/>
                <w:color w:val="000000"/>
              </w:rPr>
            </w:pPr>
            <w:r w:rsidRPr="00CE7017">
              <w:rPr>
                <w:rFonts w:ascii="Times New Roman" w:eastAsia="Times New Roman" w:hAnsi="Times New Roman" w:cs="Times New Roman"/>
                <w:color w:val="000000"/>
              </w:rPr>
              <w:t>TR</w:t>
            </w:r>
          </w:p>
        </w:tc>
        <w:tc>
          <w:tcPr>
            <w:tcW w:w="960" w:type="dxa"/>
            <w:tcBorders>
              <w:top w:val="nil"/>
              <w:left w:val="nil"/>
              <w:bottom w:val="single" w:sz="4" w:space="0" w:color="auto"/>
              <w:right w:val="nil"/>
            </w:tcBorders>
            <w:shd w:val="clear" w:color="auto" w:fill="auto"/>
            <w:noWrap/>
            <w:vAlign w:val="bottom"/>
            <w:hideMark/>
          </w:tcPr>
          <w:p w14:paraId="4B88274A" w14:textId="225E591A" w:rsidR="00560739" w:rsidRPr="00CE7017" w:rsidRDefault="00560739" w:rsidP="00560739">
            <w:pPr>
              <w:spacing w:after="0" w:line="240" w:lineRule="auto"/>
              <w:jc w:val="cente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bottom"/>
            <w:hideMark/>
          </w:tcPr>
          <w:p w14:paraId="41581CD9" w14:textId="188D08E6" w:rsidR="00560739" w:rsidRPr="00CE7017" w:rsidRDefault="00560739" w:rsidP="00560739">
            <w:pPr>
              <w:spacing w:after="0" w:line="240" w:lineRule="auto"/>
              <w:jc w:val="cente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bottom"/>
            <w:hideMark/>
          </w:tcPr>
          <w:p w14:paraId="6C5777F0" w14:textId="759B19D9" w:rsidR="00560739" w:rsidRPr="00CE7017" w:rsidRDefault="00560739" w:rsidP="00560739">
            <w:pPr>
              <w:spacing w:after="0" w:line="240" w:lineRule="auto"/>
              <w:jc w:val="cente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bottom"/>
            <w:hideMark/>
          </w:tcPr>
          <w:p w14:paraId="72A11A7C" w14:textId="37A30A48" w:rsidR="00560739" w:rsidRPr="00CE7017" w:rsidRDefault="00560739" w:rsidP="00560739">
            <w:pPr>
              <w:spacing w:after="0" w:line="240" w:lineRule="auto"/>
              <w:jc w:val="center"/>
              <w:rPr>
                <w:rFonts w:ascii="Times New Roman" w:eastAsia="Times New Roman" w:hAnsi="Times New Roman" w:cs="Times New Roman"/>
                <w:color w:val="000000"/>
              </w:rPr>
            </w:pPr>
            <w:r w:rsidRPr="00560739">
              <w:rPr>
                <w:rFonts w:ascii="Times New Roman" w:hAnsi="Times New Roman" w:cs="Times New Roman"/>
                <w:color w:val="000000"/>
              </w:rPr>
              <w:t>4.874</w:t>
            </w:r>
          </w:p>
        </w:tc>
        <w:tc>
          <w:tcPr>
            <w:tcW w:w="960" w:type="dxa"/>
            <w:tcBorders>
              <w:top w:val="nil"/>
              <w:left w:val="nil"/>
              <w:bottom w:val="single" w:sz="4" w:space="0" w:color="auto"/>
              <w:right w:val="nil"/>
            </w:tcBorders>
            <w:shd w:val="clear" w:color="auto" w:fill="auto"/>
            <w:noWrap/>
            <w:vAlign w:val="bottom"/>
            <w:hideMark/>
          </w:tcPr>
          <w:p w14:paraId="29820142" w14:textId="04CE3D15" w:rsidR="00560739" w:rsidRPr="00CE7017" w:rsidRDefault="00560739" w:rsidP="00560739">
            <w:pPr>
              <w:spacing w:after="0" w:line="240" w:lineRule="auto"/>
              <w:jc w:val="center"/>
              <w:rPr>
                <w:rFonts w:ascii="Times New Roman" w:eastAsia="Times New Roman" w:hAnsi="Times New Roman" w:cs="Times New Roman"/>
                <w:color w:val="000000"/>
              </w:rPr>
            </w:pPr>
          </w:p>
        </w:tc>
      </w:tr>
    </w:tbl>
    <w:p w14:paraId="6A570065" w14:textId="77777777" w:rsidR="00560739" w:rsidRDefault="00560739" w:rsidP="00CE7017">
      <w:pPr>
        <w:spacing w:after="0"/>
        <w:jc w:val="both"/>
        <w:rPr>
          <w:rFonts w:ascii="Times New Roman" w:hAnsi="Times New Roman" w:cs="Times New Roman"/>
        </w:rPr>
      </w:pPr>
    </w:p>
    <w:p w14:paraId="28FB8C26" w14:textId="5E868988" w:rsidR="00CE7017" w:rsidRPr="00CE7017" w:rsidRDefault="00CE7017" w:rsidP="00CE7017">
      <w:pPr>
        <w:spacing w:after="0"/>
        <w:jc w:val="both"/>
        <w:rPr>
          <w:rFonts w:ascii="Times New Roman" w:hAnsi="Times New Roman" w:cs="Times New Roman"/>
        </w:rPr>
      </w:pPr>
      <w:r w:rsidRPr="00CE7017">
        <w:rPr>
          <w:rFonts w:ascii="Times New Roman" w:hAnsi="Times New Roman" w:cs="Times New Roman"/>
        </w:rPr>
        <w:t xml:space="preserve">Table 5. </w:t>
      </w:r>
      <w:r w:rsidRPr="00234FFB">
        <w:rPr>
          <w:rFonts w:ascii="Times New Roman" w:hAnsi="Times New Roman" w:cs="Times New Roman"/>
        </w:rPr>
        <w:t>Path coefficient (Bootstrapping)</w:t>
      </w:r>
    </w:p>
    <w:tbl>
      <w:tblPr>
        <w:tblW w:w="9073" w:type="dxa"/>
        <w:tblLook w:val="04A0" w:firstRow="1" w:lastRow="0" w:firstColumn="1" w:lastColumn="0" w:noHBand="0" w:noVBand="1"/>
      </w:tblPr>
      <w:tblGrid>
        <w:gridCol w:w="4962"/>
        <w:gridCol w:w="1134"/>
        <w:gridCol w:w="1380"/>
        <w:gridCol w:w="779"/>
        <w:gridCol w:w="818"/>
      </w:tblGrid>
      <w:tr w:rsidR="00CE7017" w:rsidRPr="00CE7017" w14:paraId="049C9C62" w14:textId="77777777" w:rsidTr="00CE7017">
        <w:trPr>
          <w:trHeight w:val="264"/>
        </w:trPr>
        <w:tc>
          <w:tcPr>
            <w:tcW w:w="4962" w:type="dxa"/>
            <w:tcBorders>
              <w:top w:val="single" w:sz="4" w:space="0" w:color="auto"/>
              <w:bottom w:val="single" w:sz="4" w:space="0" w:color="auto"/>
            </w:tcBorders>
            <w:shd w:val="clear" w:color="auto" w:fill="auto"/>
            <w:noWrap/>
            <w:vAlign w:val="bottom"/>
            <w:hideMark/>
          </w:tcPr>
          <w:p w14:paraId="0FBCA918" w14:textId="77777777" w:rsidR="00CE7017" w:rsidRPr="00CE7017" w:rsidRDefault="00CE7017" w:rsidP="008C10EA">
            <w:pPr>
              <w:spacing w:after="0" w:line="240" w:lineRule="auto"/>
              <w:rPr>
                <w:rFonts w:ascii="Times New Roman" w:eastAsia="Times New Roman" w:hAnsi="Times New Roman" w:cs="Times New Roman"/>
              </w:rPr>
            </w:pPr>
          </w:p>
        </w:tc>
        <w:tc>
          <w:tcPr>
            <w:tcW w:w="1134" w:type="dxa"/>
            <w:tcBorders>
              <w:top w:val="single" w:sz="4" w:space="0" w:color="auto"/>
              <w:bottom w:val="single" w:sz="4" w:space="0" w:color="auto"/>
            </w:tcBorders>
            <w:shd w:val="clear" w:color="auto" w:fill="auto"/>
            <w:noWrap/>
            <w:vAlign w:val="bottom"/>
            <w:hideMark/>
          </w:tcPr>
          <w:p w14:paraId="53AFACB3" w14:textId="77777777" w:rsidR="00CE7017" w:rsidRPr="00CE7017" w:rsidRDefault="00CE7017" w:rsidP="008C10EA">
            <w:pPr>
              <w:spacing w:after="0" w:line="240" w:lineRule="auto"/>
              <w:jc w:val="center"/>
              <w:rPr>
                <w:rFonts w:ascii="Times New Roman" w:eastAsia="Times New Roman" w:hAnsi="Times New Roman" w:cs="Times New Roman"/>
                <w:color w:val="000000"/>
              </w:rPr>
            </w:pPr>
            <w:r w:rsidRPr="00CE7017">
              <w:rPr>
                <w:rFonts w:ascii="Times New Roman" w:eastAsia="Times New Roman" w:hAnsi="Times New Roman" w:cs="Times New Roman"/>
                <w:color w:val="000000"/>
              </w:rPr>
              <w:t>Sample mean (M)</w:t>
            </w:r>
          </w:p>
        </w:tc>
        <w:tc>
          <w:tcPr>
            <w:tcW w:w="1380" w:type="dxa"/>
            <w:tcBorders>
              <w:top w:val="single" w:sz="4" w:space="0" w:color="auto"/>
              <w:bottom w:val="single" w:sz="4" w:space="0" w:color="auto"/>
            </w:tcBorders>
            <w:shd w:val="clear" w:color="auto" w:fill="auto"/>
            <w:noWrap/>
            <w:vAlign w:val="bottom"/>
            <w:hideMark/>
          </w:tcPr>
          <w:p w14:paraId="15812499" w14:textId="77777777" w:rsidR="00CE7017" w:rsidRPr="00CE7017" w:rsidRDefault="00CE7017" w:rsidP="008C10EA">
            <w:pPr>
              <w:spacing w:after="0" w:line="240" w:lineRule="auto"/>
              <w:jc w:val="center"/>
              <w:rPr>
                <w:rFonts w:ascii="Times New Roman" w:eastAsia="Times New Roman" w:hAnsi="Times New Roman" w:cs="Times New Roman"/>
                <w:color w:val="000000"/>
              </w:rPr>
            </w:pPr>
            <w:r w:rsidRPr="00CE7017">
              <w:rPr>
                <w:rFonts w:ascii="Times New Roman" w:eastAsia="Times New Roman" w:hAnsi="Times New Roman" w:cs="Times New Roman"/>
                <w:color w:val="000000"/>
              </w:rPr>
              <w:t>T statistics (|O/STDEV|)</w:t>
            </w:r>
          </w:p>
        </w:tc>
        <w:tc>
          <w:tcPr>
            <w:tcW w:w="779" w:type="dxa"/>
            <w:tcBorders>
              <w:top w:val="single" w:sz="4" w:space="0" w:color="auto"/>
              <w:bottom w:val="single" w:sz="4" w:space="0" w:color="auto"/>
            </w:tcBorders>
            <w:shd w:val="clear" w:color="auto" w:fill="auto"/>
            <w:noWrap/>
            <w:vAlign w:val="bottom"/>
            <w:hideMark/>
          </w:tcPr>
          <w:p w14:paraId="1665C5B2" w14:textId="77777777" w:rsidR="00CE7017" w:rsidRPr="00CE7017" w:rsidRDefault="00CE7017" w:rsidP="008C10EA">
            <w:pPr>
              <w:spacing w:after="0" w:line="240" w:lineRule="auto"/>
              <w:jc w:val="center"/>
              <w:rPr>
                <w:rFonts w:ascii="Times New Roman" w:eastAsia="Times New Roman" w:hAnsi="Times New Roman" w:cs="Times New Roman"/>
                <w:color w:val="000000"/>
              </w:rPr>
            </w:pPr>
            <w:r w:rsidRPr="00CE7017">
              <w:rPr>
                <w:rFonts w:ascii="Times New Roman" w:eastAsia="Times New Roman" w:hAnsi="Times New Roman" w:cs="Times New Roman"/>
                <w:color w:val="000000"/>
              </w:rPr>
              <w:t>P values</w:t>
            </w:r>
          </w:p>
        </w:tc>
        <w:tc>
          <w:tcPr>
            <w:tcW w:w="818" w:type="dxa"/>
            <w:tcBorders>
              <w:top w:val="single" w:sz="4" w:space="0" w:color="auto"/>
              <w:bottom w:val="single" w:sz="4" w:space="0" w:color="auto"/>
            </w:tcBorders>
          </w:tcPr>
          <w:p w14:paraId="595DF569" w14:textId="17C7FEE0" w:rsidR="00CE7017" w:rsidRPr="00CE7017" w:rsidRDefault="00CE7017" w:rsidP="008C10E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 square</w:t>
            </w:r>
          </w:p>
        </w:tc>
      </w:tr>
      <w:tr w:rsidR="00560739" w:rsidRPr="00CE7017" w14:paraId="388F71D9" w14:textId="77777777" w:rsidTr="00B76167">
        <w:trPr>
          <w:trHeight w:val="264"/>
        </w:trPr>
        <w:tc>
          <w:tcPr>
            <w:tcW w:w="4962" w:type="dxa"/>
            <w:tcBorders>
              <w:top w:val="single" w:sz="4" w:space="0" w:color="auto"/>
            </w:tcBorders>
            <w:shd w:val="clear" w:color="auto" w:fill="auto"/>
            <w:noWrap/>
            <w:vAlign w:val="center"/>
            <w:hideMark/>
          </w:tcPr>
          <w:p w14:paraId="072809E9" w14:textId="77777777" w:rsidR="00560739" w:rsidRPr="00CE7017" w:rsidRDefault="00560739" w:rsidP="00560739">
            <w:pPr>
              <w:spacing w:after="0" w:line="240" w:lineRule="auto"/>
              <w:rPr>
                <w:rFonts w:ascii="Times New Roman" w:eastAsia="Times New Roman" w:hAnsi="Times New Roman" w:cs="Times New Roman"/>
                <w:color w:val="000000"/>
                <w:sz w:val="21"/>
                <w:szCs w:val="21"/>
              </w:rPr>
            </w:pPr>
            <w:r w:rsidRPr="00CE7017">
              <w:rPr>
                <w:rFonts w:ascii="Times New Roman" w:eastAsia="Times New Roman" w:hAnsi="Times New Roman" w:cs="Times New Roman"/>
                <w:color w:val="000000"/>
                <w:sz w:val="21"/>
                <w:szCs w:val="21"/>
              </w:rPr>
              <w:t xml:space="preserve">Confirmation Expectations </w:t>
            </w:r>
            <w:r w:rsidRPr="00CE7017">
              <w:rPr>
                <w:rFonts w:ascii="Times New Roman" w:eastAsia="Times New Roman" w:hAnsi="Times New Roman" w:cs="Times New Roman"/>
                <w:color w:val="000000"/>
                <w:sz w:val="21"/>
                <w:szCs w:val="21"/>
              </w:rPr>
              <w:sym w:font="Wingdings" w:char="F0E0"/>
            </w:r>
            <w:r w:rsidRPr="00CE7017">
              <w:rPr>
                <w:rFonts w:ascii="Times New Roman" w:eastAsia="Times New Roman" w:hAnsi="Times New Roman" w:cs="Times New Roman"/>
                <w:color w:val="000000"/>
                <w:sz w:val="21"/>
                <w:szCs w:val="21"/>
              </w:rPr>
              <w:t xml:space="preserve"> Perceived Usefulness</w:t>
            </w:r>
          </w:p>
        </w:tc>
        <w:tc>
          <w:tcPr>
            <w:tcW w:w="1134" w:type="dxa"/>
            <w:tcBorders>
              <w:top w:val="single" w:sz="4" w:space="0" w:color="auto"/>
            </w:tcBorders>
            <w:shd w:val="clear" w:color="auto" w:fill="auto"/>
            <w:noWrap/>
            <w:vAlign w:val="bottom"/>
            <w:hideMark/>
          </w:tcPr>
          <w:p w14:paraId="2610ECDD" w14:textId="2750B978"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0.74</w:t>
            </w:r>
          </w:p>
        </w:tc>
        <w:tc>
          <w:tcPr>
            <w:tcW w:w="1380" w:type="dxa"/>
            <w:tcBorders>
              <w:top w:val="single" w:sz="4" w:space="0" w:color="auto"/>
            </w:tcBorders>
            <w:shd w:val="clear" w:color="auto" w:fill="auto"/>
            <w:noWrap/>
            <w:vAlign w:val="bottom"/>
            <w:hideMark/>
          </w:tcPr>
          <w:p w14:paraId="725B9D1E" w14:textId="3E1DD8DF"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31.86</w:t>
            </w:r>
          </w:p>
        </w:tc>
        <w:tc>
          <w:tcPr>
            <w:tcW w:w="779" w:type="dxa"/>
            <w:tcBorders>
              <w:top w:val="single" w:sz="4" w:space="0" w:color="auto"/>
            </w:tcBorders>
            <w:shd w:val="clear" w:color="auto" w:fill="auto"/>
            <w:noWrap/>
            <w:vAlign w:val="bottom"/>
            <w:hideMark/>
          </w:tcPr>
          <w:p w14:paraId="3FA78900" w14:textId="5AC8E3C7"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0.00</w:t>
            </w:r>
          </w:p>
        </w:tc>
        <w:tc>
          <w:tcPr>
            <w:tcW w:w="818" w:type="dxa"/>
            <w:tcBorders>
              <w:top w:val="single" w:sz="4" w:space="0" w:color="auto"/>
            </w:tcBorders>
            <w:vAlign w:val="bottom"/>
          </w:tcPr>
          <w:p w14:paraId="193F9DA5" w14:textId="33851A82"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1.23</w:t>
            </w:r>
          </w:p>
        </w:tc>
      </w:tr>
      <w:tr w:rsidR="00560739" w:rsidRPr="00CE7017" w14:paraId="37B1BF59" w14:textId="77777777" w:rsidTr="00B76167">
        <w:trPr>
          <w:trHeight w:val="264"/>
        </w:trPr>
        <w:tc>
          <w:tcPr>
            <w:tcW w:w="4962" w:type="dxa"/>
            <w:shd w:val="clear" w:color="auto" w:fill="auto"/>
            <w:noWrap/>
            <w:vAlign w:val="center"/>
            <w:hideMark/>
          </w:tcPr>
          <w:p w14:paraId="720F606E" w14:textId="3E369A6E" w:rsidR="00560739" w:rsidRPr="00CE7017" w:rsidRDefault="00560739" w:rsidP="00560739">
            <w:pPr>
              <w:spacing w:after="0" w:line="240" w:lineRule="auto"/>
              <w:rPr>
                <w:rFonts w:ascii="Times New Roman" w:eastAsia="Times New Roman" w:hAnsi="Times New Roman" w:cs="Times New Roman"/>
                <w:color w:val="000000"/>
                <w:sz w:val="21"/>
                <w:szCs w:val="21"/>
              </w:rPr>
            </w:pPr>
            <w:r w:rsidRPr="00CE7017">
              <w:rPr>
                <w:rFonts w:ascii="Times New Roman" w:eastAsia="Times New Roman" w:hAnsi="Times New Roman" w:cs="Times New Roman"/>
                <w:color w:val="000000"/>
                <w:sz w:val="21"/>
                <w:szCs w:val="21"/>
              </w:rPr>
              <w:t xml:space="preserve">Confirmation Expectations </w:t>
            </w:r>
            <w:r w:rsidRPr="00CE7017">
              <w:rPr>
                <w:rFonts w:ascii="Times New Roman" w:eastAsia="Times New Roman" w:hAnsi="Times New Roman" w:cs="Times New Roman"/>
                <w:color w:val="000000"/>
                <w:sz w:val="21"/>
                <w:szCs w:val="21"/>
              </w:rPr>
              <w:sym w:font="Wingdings" w:char="F0E0"/>
            </w:r>
            <w:r w:rsidRPr="00CE7017">
              <w:rPr>
                <w:rFonts w:ascii="Times New Roman" w:eastAsia="Times New Roman" w:hAnsi="Times New Roman" w:cs="Times New Roman"/>
                <w:color w:val="000000"/>
                <w:sz w:val="21"/>
                <w:szCs w:val="21"/>
              </w:rPr>
              <w:t xml:space="preserve"> Satisfaction</w:t>
            </w:r>
          </w:p>
        </w:tc>
        <w:tc>
          <w:tcPr>
            <w:tcW w:w="1134" w:type="dxa"/>
            <w:shd w:val="clear" w:color="auto" w:fill="auto"/>
            <w:noWrap/>
            <w:vAlign w:val="bottom"/>
            <w:hideMark/>
          </w:tcPr>
          <w:p w14:paraId="52F34A8E" w14:textId="02C35118"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0.08</w:t>
            </w:r>
          </w:p>
        </w:tc>
        <w:tc>
          <w:tcPr>
            <w:tcW w:w="1380" w:type="dxa"/>
            <w:shd w:val="clear" w:color="auto" w:fill="auto"/>
            <w:noWrap/>
            <w:vAlign w:val="bottom"/>
            <w:hideMark/>
          </w:tcPr>
          <w:p w14:paraId="5A800752" w14:textId="4BFB4B66"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1.22</w:t>
            </w:r>
          </w:p>
        </w:tc>
        <w:tc>
          <w:tcPr>
            <w:tcW w:w="779" w:type="dxa"/>
            <w:shd w:val="clear" w:color="auto" w:fill="auto"/>
            <w:noWrap/>
            <w:vAlign w:val="bottom"/>
            <w:hideMark/>
          </w:tcPr>
          <w:p w14:paraId="7CA5B78B" w14:textId="458AE895"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0.22</w:t>
            </w:r>
          </w:p>
        </w:tc>
        <w:tc>
          <w:tcPr>
            <w:tcW w:w="818" w:type="dxa"/>
            <w:vAlign w:val="bottom"/>
          </w:tcPr>
          <w:p w14:paraId="7C7F38C4" w14:textId="5C2616A1"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0.00</w:t>
            </w:r>
          </w:p>
        </w:tc>
      </w:tr>
      <w:tr w:rsidR="00560739" w:rsidRPr="00CE7017" w14:paraId="693844AE" w14:textId="77777777" w:rsidTr="00B76167">
        <w:trPr>
          <w:trHeight w:val="264"/>
        </w:trPr>
        <w:tc>
          <w:tcPr>
            <w:tcW w:w="4962" w:type="dxa"/>
            <w:shd w:val="clear" w:color="auto" w:fill="auto"/>
            <w:noWrap/>
            <w:vAlign w:val="center"/>
            <w:hideMark/>
          </w:tcPr>
          <w:p w14:paraId="390694D2" w14:textId="1ECCF065" w:rsidR="00560739" w:rsidRPr="00CE7017" w:rsidRDefault="00560739" w:rsidP="00560739">
            <w:pPr>
              <w:spacing w:after="0" w:line="240" w:lineRule="auto"/>
              <w:rPr>
                <w:rFonts w:ascii="Times New Roman" w:eastAsia="Times New Roman" w:hAnsi="Times New Roman" w:cs="Times New Roman"/>
                <w:color w:val="000000"/>
                <w:sz w:val="21"/>
                <w:szCs w:val="21"/>
              </w:rPr>
            </w:pPr>
            <w:r w:rsidRPr="00CE7017">
              <w:rPr>
                <w:rFonts w:ascii="Times New Roman" w:eastAsia="Times New Roman" w:hAnsi="Times New Roman" w:cs="Times New Roman"/>
                <w:color w:val="000000"/>
                <w:sz w:val="21"/>
                <w:szCs w:val="21"/>
              </w:rPr>
              <w:t xml:space="preserve">Confirmation Expectations </w:t>
            </w:r>
            <w:r w:rsidRPr="00CE7017">
              <w:rPr>
                <w:rFonts w:ascii="Times New Roman" w:eastAsia="Times New Roman" w:hAnsi="Times New Roman" w:cs="Times New Roman"/>
                <w:color w:val="000000"/>
                <w:sz w:val="21"/>
                <w:szCs w:val="21"/>
              </w:rPr>
              <w:sym w:font="Wingdings" w:char="F0E0"/>
            </w:r>
            <w:r w:rsidRPr="00CE7017">
              <w:rPr>
                <w:rFonts w:ascii="Times New Roman" w:eastAsia="Times New Roman" w:hAnsi="Times New Roman" w:cs="Times New Roman"/>
                <w:color w:val="000000"/>
                <w:sz w:val="21"/>
                <w:szCs w:val="21"/>
              </w:rPr>
              <w:t xml:space="preserve"> Trust</w:t>
            </w:r>
          </w:p>
        </w:tc>
        <w:tc>
          <w:tcPr>
            <w:tcW w:w="1134" w:type="dxa"/>
            <w:shd w:val="clear" w:color="auto" w:fill="auto"/>
            <w:noWrap/>
            <w:vAlign w:val="bottom"/>
            <w:hideMark/>
          </w:tcPr>
          <w:p w14:paraId="4C880DD0" w14:textId="27DCEB70"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0.31</w:t>
            </w:r>
          </w:p>
        </w:tc>
        <w:tc>
          <w:tcPr>
            <w:tcW w:w="1380" w:type="dxa"/>
            <w:shd w:val="clear" w:color="auto" w:fill="auto"/>
            <w:noWrap/>
            <w:vAlign w:val="bottom"/>
            <w:hideMark/>
          </w:tcPr>
          <w:p w14:paraId="1A86B005" w14:textId="433A95B8"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6.68</w:t>
            </w:r>
          </w:p>
        </w:tc>
        <w:tc>
          <w:tcPr>
            <w:tcW w:w="779" w:type="dxa"/>
            <w:shd w:val="clear" w:color="auto" w:fill="auto"/>
            <w:noWrap/>
            <w:vAlign w:val="bottom"/>
            <w:hideMark/>
          </w:tcPr>
          <w:p w14:paraId="3C1B5FEC" w14:textId="6D30B196"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0.00</w:t>
            </w:r>
          </w:p>
        </w:tc>
        <w:tc>
          <w:tcPr>
            <w:tcW w:w="818" w:type="dxa"/>
            <w:vAlign w:val="bottom"/>
          </w:tcPr>
          <w:p w14:paraId="013BABBE" w14:textId="56E07F27"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0.12</w:t>
            </w:r>
          </w:p>
        </w:tc>
      </w:tr>
      <w:tr w:rsidR="00560739" w:rsidRPr="00CE7017" w14:paraId="1EEDB105" w14:textId="77777777" w:rsidTr="00B76167">
        <w:trPr>
          <w:trHeight w:val="264"/>
        </w:trPr>
        <w:tc>
          <w:tcPr>
            <w:tcW w:w="4962" w:type="dxa"/>
            <w:shd w:val="clear" w:color="auto" w:fill="auto"/>
            <w:noWrap/>
            <w:vAlign w:val="center"/>
            <w:hideMark/>
          </w:tcPr>
          <w:p w14:paraId="2EAFAAF1" w14:textId="6E9E9951" w:rsidR="00560739" w:rsidRPr="00CE7017" w:rsidRDefault="00560739" w:rsidP="00560739">
            <w:pPr>
              <w:spacing w:after="0" w:line="240" w:lineRule="auto"/>
              <w:rPr>
                <w:rFonts w:ascii="Times New Roman" w:eastAsia="Times New Roman" w:hAnsi="Times New Roman" w:cs="Times New Roman"/>
                <w:color w:val="000000"/>
                <w:sz w:val="21"/>
                <w:szCs w:val="21"/>
              </w:rPr>
            </w:pPr>
            <w:r w:rsidRPr="00CE7017">
              <w:rPr>
                <w:rFonts w:ascii="Times New Roman" w:eastAsia="Times New Roman" w:hAnsi="Times New Roman" w:cs="Times New Roman"/>
                <w:color w:val="000000"/>
                <w:sz w:val="21"/>
                <w:szCs w:val="21"/>
              </w:rPr>
              <w:t xml:space="preserve">Privacy Cynicism </w:t>
            </w:r>
            <w:r w:rsidRPr="00CE7017">
              <w:rPr>
                <w:rFonts w:ascii="Times New Roman" w:eastAsia="Times New Roman" w:hAnsi="Times New Roman" w:cs="Times New Roman"/>
                <w:color w:val="000000"/>
                <w:sz w:val="21"/>
                <w:szCs w:val="21"/>
              </w:rPr>
              <w:sym w:font="Wingdings" w:char="F0E0"/>
            </w:r>
            <w:r w:rsidRPr="00CE7017">
              <w:rPr>
                <w:rFonts w:ascii="Times New Roman" w:eastAsia="Times New Roman" w:hAnsi="Times New Roman" w:cs="Times New Roman"/>
                <w:color w:val="000000"/>
                <w:sz w:val="21"/>
                <w:szCs w:val="21"/>
              </w:rPr>
              <w:t xml:space="preserve"> Satisfaction</w:t>
            </w:r>
          </w:p>
        </w:tc>
        <w:tc>
          <w:tcPr>
            <w:tcW w:w="1134" w:type="dxa"/>
            <w:shd w:val="clear" w:color="auto" w:fill="auto"/>
            <w:noWrap/>
            <w:vAlign w:val="bottom"/>
            <w:hideMark/>
          </w:tcPr>
          <w:p w14:paraId="243DBBCA" w14:textId="10866789"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0.25</w:t>
            </w:r>
          </w:p>
        </w:tc>
        <w:tc>
          <w:tcPr>
            <w:tcW w:w="1380" w:type="dxa"/>
            <w:shd w:val="clear" w:color="auto" w:fill="auto"/>
            <w:noWrap/>
            <w:vAlign w:val="bottom"/>
            <w:hideMark/>
          </w:tcPr>
          <w:p w14:paraId="6F59FEDC" w14:textId="2DB031CF"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3.97</w:t>
            </w:r>
          </w:p>
        </w:tc>
        <w:tc>
          <w:tcPr>
            <w:tcW w:w="779" w:type="dxa"/>
            <w:shd w:val="clear" w:color="auto" w:fill="auto"/>
            <w:noWrap/>
            <w:vAlign w:val="bottom"/>
            <w:hideMark/>
          </w:tcPr>
          <w:p w14:paraId="6A932CE3" w14:textId="73F2B8BE"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0.00</w:t>
            </w:r>
          </w:p>
        </w:tc>
        <w:tc>
          <w:tcPr>
            <w:tcW w:w="818" w:type="dxa"/>
            <w:vAlign w:val="bottom"/>
          </w:tcPr>
          <w:p w14:paraId="2B2E011E" w14:textId="6D0836DC"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0.03</w:t>
            </w:r>
          </w:p>
        </w:tc>
      </w:tr>
      <w:tr w:rsidR="00560739" w:rsidRPr="00CE7017" w14:paraId="11C90DFA" w14:textId="77777777" w:rsidTr="00B76167">
        <w:trPr>
          <w:trHeight w:val="264"/>
        </w:trPr>
        <w:tc>
          <w:tcPr>
            <w:tcW w:w="4962" w:type="dxa"/>
            <w:shd w:val="clear" w:color="auto" w:fill="auto"/>
            <w:noWrap/>
            <w:vAlign w:val="center"/>
            <w:hideMark/>
          </w:tcPr>
          <w:p w14:paraId="1FACCD7B" w14:textId="101C692E" w:rsidR="00560739" w:rsidRPr="00CE7017" w:rsidRDefault="00560739" w:rsidP="00560739">
            <w:pPr>
              <w:spacing w:after="0" w:line="240" w:lineRule="auto"/>
              <w:rPr>
                <w:rFonts w:ascii="Times New Roman" w:eastAsia="Times New Roman" w:hAnsi="Times New Roman" w:cs="Times New Roman"/>
                <w:color w:val="000000"/>
                <w:sz w:val="21"/>
                <w:szCs w:val="21"/>
              </w:rPr>
            </w:pPr>
            <w:r w:rsidRPr="00CE7017">
              <w:rPr>
                <w:rFonts w:ascii="Times New Roman" w:eastAsia="Times New Roman" w:hAnsi="Times New Roman" w:cs="Times New Roman"/>
                <w:color w:val="000000"/>
                <w:sz w:val="21"/>
                <w:szCs w:val="21"/>
              </w:rPr>
              <w:t xml:space="preserve">Privacy Cynicism </w:t>
            </w:r>
            <w:r w:rsidRPr="00CE7017">
              <w:rPr>
                <w:rFonts w:ascii="Times New Roman" w:eastAsia="Times New Roman" w:hAnsi="Times New Roman" w:cs="Times New Roman"/>
                <w:color w:val="000000"/>
                <w:sz w:val="21"/>
                <w:szCs w:val="21"/>
              </w:rPr>
              <w:sym w:font="Wingdings" w:char="F0E0"/>
            </w:r>
            <w:r w:rsidRPr="00CE7017">
              <w:rPr>
                <w:rFonts w:ascii="Times New Roman" w:eastAsia="Times New Roman" w:hAnsi="Times New Roman" w:cs="Times New Roman"/>
                <w:color w:val="000000"/>
                <w:sz w:val="21"/>
                <w:szCs w:val="21"/>
              </w:rPr>
              <w:t xml:space="preserve"> Trust</w:t>
            </w:r>
          </w:p>
        </w:tc>
        <w:tc>
          <w:tcPr>
            <w:tcW w:w="1134" w:type="dxa"/>
            <w:shd w:val="clear" w:color="auto" w:fill="auto"/>
            <w:noWrap/>
            <w:vAlign w:val="bottom"/>
            <w:hideMark/>
          </w:tcPr>
          <w:p w14:paraId="4353B828" w14:textId="736AFA50"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0.48</w:t>
            </w:r>
          </w:p>
        </w:tc>
        <w:tc>
          <w:tcPr>
            <w:tcW w:w="1380" w:type="dxa"/>
            <w:shd w:val="clear" w:color="auto" w:fill="auto"/>
            <w:noWrap/>
            <w:vAlign w:val="bottom"/>
            <w:hideMark/>
          </w:tcPr>
          <w:p w14:paraId="7DCCB384" w14:textId="7F179340"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11.27</w:t>
            </w:r>
          </w:p>
        </w:tc>
        <w:tc>
          <w:tcPr>
            <w:tcW w:w="779" w:type="dxa"/>
            <w:shd w:val="clear" w:color="auto" w:fill="auto"/>
            <w:noWrap/>
            <w:vAlign w:val="bottom"/>
            <w:hideMark/>
          </w:tcPr>
          <w:p w14:paraId="310FB8C1" w14:textId="2192FF8B"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0.00</w:t>
            </w:r>
          </w:p>
        </w:tc>
        <w:tc>
          <w:tcPr>
            <w:tcW w:w="818" w:type="dxa"/>
            <w:vAlign w:val="bottom"/>
          </w:tcPr>
          <w:p w14:paraId="432F89DF" w14:textId="424FA219"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0.30</w:t>
            </w:r>
          </w:p>
        </w:tc>
      </w:tr>
      <w:tr w:rsidR="00560739" w:rsidRPr="00CE7017" w14:paraId="082D6709" w14:textId="77777777" w:rsidTr="00B76167">
        <w:trPr>
          <w:trHeight w:val="264"/>
        </w:trPr>
        <w:tc>
          <w:tcPr>
            <w:tcW w:w="4962" w:type="dxa"/>
            <w:shd w:val="clear" w:color="auto" w:fill="auto"/>
            <w:noWrap/>
            <w:vAlign w:val="center"/>
            <w:hideMark/>
          </w:tcPr>
          <w:p w14:paraId="6929DAC1" w14:textId="2D0D5DFD" w:rsidR="00560739" w:rsidRPr="00CE7017" w:rsidRDefault="00560739" w:rsidP="00560739">
            <w:pPr>
              <w:spacing w:after="0" w:line="240" w:lineRule="auto"/>
              <w:rPr>
                <w:rFonts w:ascii="Times New Roman" w:eastAsia="Times New Roman" w:hAnsi="Times New Roman" w:cs="Times New Roman"/>
                <w:color w:val="000000"/>
                <w:sz w:val="21"/>
                <w:szCs w:val="21"/>
              </w:rPr>
            </w:pPr>
            <w:r w:rsidRPr="00CE7017">
              <w:rPr>
                <w:rFonts w:ascii="Times New Roman" w:eastAsia="Times New Roman" w:hAnsi="Times New Roman" w:cs="Times New Roman"/>
                <w:color w:val="000000"/>
                <w:sz w:val="21"/>
                <w:szCs w:val="21"/>
              </w:rPr>
              <w:t xml:space="preserve">Perceived Usefulness </w:t>
            </w:r>
            <w:r w:rsidRPr="00CE7017">
              <w:rPr>
                <w:rFonts w:ascii="Times New Roman" w:eastAsia="Times New Roman" w:hAnsi="Times New Roman" w:cs="Times New Roman"/>
                <w:color w:val="000000"/>
                <w:sz w:val="21"/>
                <w:szCs w:val="21"/>
              </w:rPr>
              <w:sym w:font="Wingdings" w:char="F0E0"/>
            </w:r>
            <w:r w:rsidRPr="00CE7017">
              <w:rPr>
                <w:rFonts w:ascii="Times New Roman" w:eastAsia="Times New Roman" w:hAnsi="Times New Roman" w:cs="Times New Roman"/>
                <w:color w:val="000000"/>
                <w:sz w:val="21"/>
                <w:szCs w:val="21"/>
              </w:rPr>
              <w:t xml:space="preserve"> Satisfaction</w:t>
            </w:r>
          </w:p>
        </w:tc>
        <w:tc>
          <w:tcPr>
            <w:tcW w:w="1134" w:type="dxa"/>
            <w:shd w:val="clear" w:color="auto" w:fill="auto"/>
            <w:noWrap/>
            <w:vAlign w:val="bottom"/>
            <w:hideMark/>
          </w:tcPr>
          <w:p w14:paraId="05B9FB07" w14:textId="457A95C8"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0.16</w:t>
            </w:r>
          </w:p>
        </w:tc>
        <w:tc>
          <w:tcPr>
            <w:tcW w:w="1380" w:type="dxa"/>
            <w:shd w:val="clear" w:color="auto" w:fill="auto"/>
            <w:noWrap/>
            <w:vAlign w:val="bottom"/>
            <w:hideMark/>
          </w:tcPr>
          <w:p w14:paraId="4ADFF803" w14:textId="2A5EFE8B"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3.20</w:t>
            </w:r>
          </w:p>
        </w:tc>
        <w:tc>
          <w:tcPr>
            <w:tcW w:w="779" w:type="dxa"/>
            <w:shd w:val="clear" w:color="auto" w:fill="auto"/>
            <w:noWrap/>
            <w:vAlign w:val="bottom"/>
            <w:hideMark/>
          </w:tcPr>
          <w:p w14:paraId="0D3A54F9" w14:textId="17E5D84A"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0.00</w:t>
            </w:r>
          </w:p>
        </w:tc>
        <w:tc>
          <w:tcPr>
            <w:tcW w:w="818" w:type="dxa"/>
            <w:vAlign w:val="bottom"/>
          </w:tcPr>
          <w:p w14:paraId="11DA8BAF" w14:textId="1E832972"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0.02</w:t>
            </w:r>
          </w:p>
        </w:tc>
      </w:tr>
      <w:tr w:rsidR="00560739" w:rsidRPr="00CE7017" w14:paraId="285FDB2B" w14:textId="77777777" w:rsidTr="00B76167">
        <w:trPr>
          <w:trHeight w:val="264"/>
        </w:trPr>
        <w:tc>
          <w:tcPr>
            <w:tcW w:w="4962" w:type="dxa"/>
            <w:shd w:val="clear" w:color="auto" w:fill="auto"/>
            <w:noWrap/>
            <w:vAlign w:val="center"/>
            <w:hideMark/>
          </w:tcPr>
          <w:p w14:paraId="50D6690F" w14:textId="040F7690" w:rsidR="00560739" w:rsidRPr="00CE7017" w:rsidRDefault="00560739" w:rsidP="00560739">
            <w:pPr>
              <w:spacing w:after="0" w:line="240" w:lineRule="auto"/>
              <w:rPr>
                <w:rFonts w:ascii="Times New Roman" w:eastAsia="Times New Roman" w:hAnsi="Times New Roman" w:cs="Times New Roman"/>
                <w:color w:val="000000"/>
                <w:sz w:val="21"/>
                <w:szCs w:val="21"/>
              </w:rPr>
            </w:pPr>
            <w:r w:rsidRPr="00CE7017">
              <w:rPr>
                <w:rFonts w:ascii="Times New Roman" w:eastAsia="Times New Roman" w:hAnsi="Times New Roman" w:cs="Times New Roman"/>
                <w:color w:val="000000"/>
                <w:sz w:val="21"/>
                <w:szCs w:val="21"/>
              </w:rPr>
              <w:t xml:space="preserve">Perceived Usefulness </w:t>
            </w:r>
            <w:r w:rsidRPr="00CE7017">
              <w:rPr>
                <w:rFonts w:ascii="Times New Roman" w:eastAsia="Times New Roman" w:hAnsi="Times New Roman" w:cs="Times New Roman"/>
                <w:color w:val="000000"/>
                <w:sz w:val="21"/>
                <w:szCs w:val="21"/>
              </w:rPr>
              <w:sym w:font="Wingdings" w:char="F0E0"/>
            </w:r>
            <w:r w:rsidRPr="00CE7017">
              <w:rPr>
                <w:rFonts w:ascii="Times New Roman" w:eastAsia="Times New Roman" w:hAnsi="Times New Roman" w:cs="Times New Roman"/>
                <w:color w:val="000000"/>
                <w:sz w:val="21"/>
                <w:szCs w:val="21"/>
              </w:rPr>
              <w:t xml:space="preserve"> Trust</w:t>
            </w:r>
          </w:p>
        </w:tc>
        <w:tc>
          <w:tcPr>
            <w:tcW w:w="1134" w:type="dxa"/>
            <w:shd w:val="clear" w:color="auto" w:fill="auto"/>
            <w:noWrap/>
            <w:vAlign w:val="bottom"/>
            <w:hideMark/>
          </w:tcPr>
          <w:p w14:paraId="4C894568" w14:textId="0D3F7F21"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0.17</w:t>
            </w:r>
          </w:p>
        </w:tc>
        <w:tc>
          <w:tcPr>
            <w:tcW w:w="1380" w:type="dxa"/>
            <w:shd w:val="clear" w:color="auto" w:fill="auto"/>
            <w:noWrap/>
            <w:vAlign w:val="bottom"/>
            <w:hideMark/>
          </w:tcPr>
          <w:p w14:paraId="49388245" w14:textId="5E7BF675"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5.94</w:t>
            </w:r>
          </w:p>
        </w:tc>
        <w:tc>
          <w:tcPr>
            <w:tcW w:w="779" w:type="dxa"/>
            <w:shd w:val="clear" w:color="auto" w:fill="auto"/>
            <w:noWrap/>
            <w:vAlign w:val="bottom"/>
            <w:hideMark/>
          </w:tcPr>
          <w:p w14:paraId="17EA6297" w14:textId="19F3CF34"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0.00</w:t>
            </w:r>
          </w:p>
        </w:tc>
        <w:tc>
          <w:tcPr>
            <w:tcW w:w="818" w:type="dxa"/>
            <w:vAlign w:val="bottom"/>
          </w:tcPr>
          <w:p w14:paraId="15D50650" w14:textId="43B70111"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0.06</w:t>
            </w:r>
          </w:p>
        </w:tc>
      </w:tr>
      <w:tr w:rsidR="00560739" w:rsidRPr="00CE7017" w14:paraId="0C3A2D6B" w14:textId="77777777" w:rsidTr="00B76167">
        <w:trPr>
          <w:trHeight w:val="264"/>
        </w:trPr>
        <w:tc>
          <w:tcPr>
            <w:tcW w:w="4962" w:type="dxa"/>
            <w:tcBorders>
              <w:bottom w:val="single" w:sz="4" w:space="0" w:color="auto"/>
            </w:tcBorders>
            <w:shd w:val="clear" w:color="auto" w:fill="auto"/>
            <w:noWrap/>
            <w:vAlign w:val="center"/>
          </w:tcPr>
          <w:p w14:paraId="63AE3C94" w14:textId="0BB5DD4A" w:rsidR="00560739" w:rsidRPr="00CE7017" w:rsidRDefault="00560739" w:rsidP="00560739">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Trust </w:t>
            </w:r>
            <w:r w:rsidRPr="00560739">
              <w:rPr>
                <w:rFonts w:ascii="Times New Roman" w:eastAsia="Times New Roman" w:hAnsi="Times New Roman" w:cs="Times New Roman"/>
                <w:color w:val="000000"/>
                <w:sz w:val="21"/>
                <w:szCs w:val="21"/>
              </w:rPr>
              <w:sym w:font="Wingdings" w:char="F0E0"/>
            </w:r>
            <w:r>
              <w:rPr>
                <w:rFonts w:ascii="Times New Roman" w:eastAsia="Times New Roman" w:hAnsi="Times New Roman" w:cs="Times New Roman"/>
                <w:color w:val="000000"/>
                <w:sz w:val="21"/>
                <w:szCs w:val="21"/>
              </w:rPr>
              <w:t xml:space="preserve"> Satisfaction</w:t>
            </w:r>
          </w:p>
        </w:tc>
        <w:tc>
          <w:tcPr>
            <w:tcW w:w="1134" w:type="dxa"/>
            <w:tcBorders>
              <w:bottom w:val="single" w:sz="4" w:space="0" w:color="auto"/>
            </w:tcBorders>
            <w:shd w:val="clear" w:color="auto" w:fill="auto"/>
            <w:noWrap/>
            <w:vAlign w:val="bottom"/>
          </w:tcPr>
          <w:p w14:paraId="2E56EA62" w14:textId="57FCDF2B"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0.32</w:t>
            </w:r>
          </w:p>
        </w:tc>
        <w:tc>
          <w:tcPr>
            <w:tcW w:w="1380" w:type="dxa"/>
            <w:tcBorders>
              <w:bottom w:val="single" w:sz="4" w:space="0" w:color="auto"/>
            </w:tcBorders>
            <w:shd w:val="clear" w:color="auto" w:fill="auto"/>
            <w:noWrap/>
            <w:vAlign w:val="bottom"/>
          </w:tcPr>
          <w:p w14:paraId="576A8BAA" w14:textId="35542522"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3.33</w:t>
            </w:r>
          </w:p>
        </w:tc>
        <w:tc>
          <w:tcPr>
            <w:tcW w:w="779" w:type="dxa"/>
            <w:tcBorders>
              <w:bottom w:val="single" w:sz="4" w:space="0" w:color="auto"/>
            </w:tcBorders>
            <w:shd w:val="clear" w:color="auto" w:fill="auto"/>
            <w:noWrap/>
            <w:vAlign w:val="bottom"/>
          </w:tcPr>
          <w:p w14:paraId="2D7CDF56" w14:textId="507532CF" w:rsidR="00560739" w:rsidRPr="00560739" w:rsidRDefault="00560739" w:rsidP="00560739">
            <w:pPr>
              <w:spacing w:after="0" w:line="240" w:lineRule="auto"/>
              <w:jc w:val="right"/>
              <w:rPr>
                <w:rFonts w:ascii="Times New Roman" w:eastAsia="Times New Roman" w:hAnsi="Times New Roman" w:cs="Times New Roman"/>
                <w:color w:val="000000"/>
                <w:sz w:val="21"/>
                <w:szCs w:val="21"/>
              </w:rPr>
            </w:pPr>
            <w:r w:rsidRPr="00560739">
              <w:rPr>
                <w:rFonts w:ascii="Times New Roman" w:hAnsi="Times New Roman" w:cs="Times New Roman"/>
                <w:color w:val="000000"/>
                <w:sz w:val="21"/>
                <w:szCs w:val="21"/>
              </w:rPr>
              <w:t>0.00</w:t>
            </w:r>
          </w:p>
        </w:tc>
        <w:tc>
          <w:tcPr>
            <w:tcW w:w="818" w:type="dxa"/>
            <w:tcBorders>
              <w:bottom w:val="single" w:sz="4" w:space="0" w:color="auto"/>
            </w:tcBorders>
            <w:vAlign w:val="bottom"/>
          </w:tcPr>
          <w:p w14:paraId="2A90B345" w14:textId="5EB0C39D" w:rsidR="00560739" w:rsidRPr="00560739" w:rsidRDefault="00560739" w:rsidP="00560739">
            <w:pPr>
              <w:spacing w:after="0" w:line="240" w:lineRule="auto"/>
              <w:jc w:val="right"/>
              <w:rPr>
                <w:rFonts w:ascii="Times New Roman" w:hAnsi="Times New Roman" w:cs="Times New Roman"/>
                <w:color w:val="000000"/>
                <w:sz w:val="21"/>
                <w:szCs w:val="21"/>
              </w:rPr>
            </w:pPr>
            <w:r w:rsidRPr="00560739">
              <w:rPr>
                <w:rFonts w:ascii="Times New Roman" w:hAnsi="Times New Roman" w:cs="Times New Roman"/>
                <w:color w:val="000000"/>
                <w:sz w:val="21"/>
                <w:szCs w:val="21"/>
              </w:rPr>
              <w:t>0.05</w:t>
            </w:r>
          </w:p>
        </w:tc>
      </w:tr>
    </w:tbl>
    <w:p w14:paraId="045486E3" w14:textId="77777777" w:rsidR="00C269A7" w:rsidRDefault="00C269A7" w:rsidP="00275301">
      <w:pPr>
        <w:spacing w:after="0"/>
        <w:ind w:firstLine="284"/>
        <w:jc w:val="both"/>
        <w:rPr>
          <w:rFonts w:ascii="Times New Roman" w:hAnsi="Times New Roman" w:cs="Times New Roman"/>
          <w:sz w:val="24"/>
          <w:szCs w:val="24"/>
        </w:rPr>
      </w:pPr>
    </w:p>
    <w:p w14:paraId="2CE5833B" w14:textId="39C756BB" w:rsidR="002E6C2A" w:rsidRDefault="00A51C04" w:rsidP="00275301">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Table 5 show</w:t>
      </w:r>
      <w:r w:rsidR="00430365" w:rsidRPr="00430365">
        <w:rPr>
          <w:rFonts w:ascii="Times New Roman" w:hAnsi="Times New Roman" w:cs="Times New Roman"/>
          <w:sz w:val="24"/>
          <w:szCs w:val="24"/>
        </w:rPr>
        <w:t>s a significant effect of confirmation expectation on perceived usefulness and trust with T statistics 31.86</w:t>
      </w:r>
      <w:r>
        <w:rPr>
          <w:rFonts w:ascii="Times New Roman" w:hAnsi="Times New Roman" w:cs="Times New Roman"/>
          <w:sz w:val="24"/>
          <w:szCs w:val="24"/>
        </w:rPr>
        <w:t>,</w:t>
      </w:r>
      <w:r w:rsidR="00430365" w:rsidRPr="00430365">
        <w:rPr>
          <w:rFonts w:ascii="Times New Roman" w:hAnsi="Times New Roman" w:cs="Times New Roman"/>
          <w:sz w:val="24"/>
          <w:szCs w:val="24"/>
        </w:rPr>
        <w:t xml:space="preserve"> 6.68</w:t>
      </w:r>
      <w:r>
        <w:rPr>
          <w:rFonts w:ascii="Times New Roman" w:hAnsi="Times New Roman" w:cs="Times New Roman"/>
          <w:sz w:val="24"/>
          <w:szCs w:val="24"/>
        </w:rPr>
        <w:t>,</w:t>
      </w:r>
      <w:r w:rsidR="00430365" w:rsidRPr="00430365">
        <w:rPr>
          <w:rFonts w:ascii="Times New Roman" w:hAnsi="Times New Roman" w:cs="Times New Roman"/>
          <w:sz w:val="24"/>
          <w:szCs w:val="24"/>
        </w:rPr>
        <w:t xml:space="preserve"> and </w:t>
      </w:r>
      <w:r>
        <w:rPr>
          <w:rFonts w:ascii="Times New Roman" w:hAnsi="Times New Roman" w:cs="Times New Roman"/>
          <w:sz w:val="24"/>
          <w:szCs w:val="24"/>
        </w:rPr>
        <w:t xml:space="preserve">a </w:t>
      </w:r>
      <w:r w:rsidR="00430365" w:rsidRPr="00430365">
        <w:rPr>
          <w:rFonts w:ascii="Times New Roman" w:hAnsi="Times New Roman" w:cs="Times New Roman"/>
          <w:sz w:val="24"/>
          <w:szCs w:val="24"/>
        </w:rPr>
        <w:t xml:space="preserve">p-value </w:t>
      </w:r>
      <w:r>
        <w:rPr>
          <w:rFonts w:ascii="Times New Roman" w:hAnsi="Times New Roman" w:cs="Times New Roman"/>
          <w:sz w:val="24"/>
          <w:szCs w:val="24"/>
        </w:rPr>
        <w:t xml:space="preserve">of </w:t>
      </w:r>
      <w:r w:rsidR="00430365" w:rsidRPr="00430365">
        <w:rPr>
          <w:rFonts w:ascii="Times New Roman" w:hAnsi="Times New Roman" w:cs="Times New Roman"/>
          <w:sz w:val="24"/>
          <w:szCs w:val="24"/>
        </w:rPr>
        <w:t>0.00. The existence of confirmation expectation in increasing perceived usefulness has a high influence at the structural level with an f</w:t>
      </w:r>
      <w:r>
        <w:rPr>
          <w:rFonts w:ascii="Times New Roman" w:hAnsi="Times New Roman" w:cs="Times New Roman"/>
          <w:sz w:val="24"/>
          <w:szCs w:val="24"/>
        </w:rPr>
        <w:t>-</w:t>
      </w:r>
      <w:r w:rsidR="00430365" w:rsidRPr="00430365">
        <w:rPr>
          <w:rFonts w:ascii="Times New Roman" w:hAnsi="Times New Roman" w:cs="Times New Roman"/>
          <w:sz w:val="24"/>
          <w:szCs w:val="24"/>
        </w:rPr>
        <w:t>square value = 1.23, while trust has a low influence with a structural level f-square value of 0.12. It is important for e-commerce service providers to understand user expectations and ensure that the user experience matches those expectations. By meeting or even exceeding user expectations, they can improve the perceived usability and integrity of their e-commerce platform. So it can be concluded that hypotheses 1a and 1c are accepted</w:t>
      </w:r>
      <w:r>
        <w:rPr>
          <w:rFonts w:ascii="Times New Roman" w:hAnsi="Times New Roman" w:cs="Times New Roman"/>
          <w:sz w:val="24"/>
          <w:szCs w:val="24"/>
        </w:rPr>
        <w:t>;</w:t>
      </w:r>
      <w:r w:rsidR="00430365" w:rsidRPr="00430365">
        <w:rPr>
          <w:rFonts w:ascii="Times New Roman" w:hAnsi="Times New Roman" w:cs="Times New Roman"/>
          <w:sz w:val="24"/>
          <w:szCs w:val="24"/>
        </w:rPr>
        <w:t xml:space="preserve"> these results are in line with research from</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BF565D">
        <w:rPr>
          <w:rFonts w:ascii="Times New Roman" w:hAnsi="Times New Roman" w:cs="Times New Roman"/>
          <w:sz w:val="24"/>
          <w:szCs w:val="24"/>
        </w:rPr>
        <w:instrText>ADDIN CSL_CITATION {"citationItems":[{"id":"ITEM-1","itemData":{"DOI":"10.3389/fpsyg.2022.1046407","abstract":"COVID-19 pandemic has tremendously affected many industries in the world, including higher education. To cope with changes in the pandemic, online learning has become a prevalent means for university students to receive education. Based on the expectation-confirmation model (ECM) and the theory of planned behavior (TPB), this study aims to develop an integrated model, consisting of confirmation, perceived usefulness, satisfaction, perceived enjoyment, subjective norm, perceived behavioral control, and continuance intention instruments, to predict Chinese university students’ continuance intention toward online learning. Using convenience sampling, we enrolled full-time university students who have used online-learning platforms in November 2020. Data collected from 493 Chinese university students were analyzed by confirmatory factor analysis (CFA) and structural equation model (SEM) to test the model and hypotheses. All measurements of constructs used in this study are adapted by previous studies. The results show that perceived satisfaction, subjective norms, and perceived behavioral control were significantly associated with the continuance intention of online learning. Furthermore, the two components of the expectation–confirmation model (ECM), perceived usefulness and perceived enjoyment, have a significant impact on the satisfaction of online learning. Notably, although confirmation of expectations had no direct impact on satisfaction, it was positively associated with perceived usefulness and perceived enjoyment. Implications and limitations were discussed.","author":[{"dropping-particle":"","family":"Li","given":"Li","non-dropping-particle":"","parse-names":false,"suffix":""},{"dropping-particle":"","family":"Wang","given":"Qing","non-dropping-particle":"","parse-names":false,"suffix":""},{"dropping-particle":"","family":"Li","given":"Jinhui","non-dropping-particle":"","parse-names":false,"suffix":""}],"container-title":"Frontiers in Psychology","id":"ITEM-1","issued":{"date-parts":[["2022"]]},"title":"Examining Continuance Intention of Online Learning During COVID-19 Pandemic: Incorporating the Theory of Planned Behavior Into the Expectation–confirmation Model","type":"article-journal"},"uris":["http://www.mendeley.com/documents/?uuid=a4198a37-2476-42d2-a2da-5cda0295044b"]},{"id":"ITEM-2","itemData":{"DOI":"10.1016/s2542-5196(18)30104-9","abstract":"Background Changes in how land is used can, by altering the ecology of microhabitats suitable for the Anopheles mosquito vector, modify the potential for malaria infection in a region. This can in part explain why malaria transmission is spatiotemporally variable and why localised foci of a substantially higher burden than regional or national averages are often observed. However, numerous other factors also contribute to the non-random distribution of malaria infections, such as human demography and behaviour, immune history and current health status, and access to adequate health services. Therefore, we aimed to integrate ecological, demographic, and socioeconomic data to better understand the forces driving malaria transmission hotspots in five sample regions in Madagascar. This research can be applied to develop land use practices or interventions that better mitigate malaria transmission.Methods Large, interdisciplinary datasets from two prospective cohort studies of 701 and 856 people and one crosssectional study of 5598 people (both sexes and all ages) from a total of 31 localities in Madagascar were analysed. Clinical (including malaria infection outcome) and health and socioeconomic survey data for each individual participant were paired with mosquito vector habitat transects and remote-sensing geospatial data in hierarchical models. To better examine transmission patterns in the spatiotemporal distribution of malaria infections, genetic analyses using a panel of polymorphic genetic markers were done to examine genetic diversity of malaria parasites.Findings We observed a non-random distribution of malaria infections at multiple spatial scales, providing evidence of hotspots in malaria transmission at the individual, household, and community levels. For example, malaria prevalence varied from 5% to 40% between sites within 15 km. Malaria prevalence in many of these rural communities in Madagascar was substantially higher than expectations based on the published national or regional estimates of about 5-9%. Genetic data, especially in the northeastern localities, were consistent with the presence of stable foci of high transmission in remote areas where the landscape is dominated by recent and ongoing conversion of forest to agricultural land, primarily for rice cultivation.Interpretation Remote communities in Madagascar, communities at the frontier of the rapid ecological transformation that is happening globally, have a disproportionately high…","author":[{"dropping-particle":"","family":"Rice","given":"Benjamin L","non-dropping-particle":"","parse-names":false,"suffix":""},{"dropping-particle":"","family":"Golden","given":"Christopher D","non-dropping-particle":"","parse-names":false,"suffix":""},{"dropping-particle":"","family":"Randriamady","given":"Hervet J","non-dropping-particle":"","parse-names":false,"suffix":""},{"dropping-particle":"","family":"Arisco","given":"Nicholas J","non-dropping-particle":"","parse-names":false,"suffix":""},{"dropping-particle":"","family":"Hartl","given":"Daniel L","non-dropping-particle":"","parse-names":false,"suffix":""}],"container-title":"The Lancet Planetary Health","id":"ITEM-2","issued":{"date-parts":[["2018"]]},"title":"Integrating Approaches to Study Land Use Change and Hotspots of Malaria Transmission in Rural Madagascar: An Observational Study","type":"article-journal"},"uris":["http://www.mendeley.com/documents/?uuid=9c25dc70-479f-4fad-9e8a-8f7233bfb1a1"]}],"mendeley":{"formattedCitation":"(L. Li et al., 2022; Rice et al., 2018)","manualFormatting":"Li et al. (2022); and Rice et al. (2018)","plainTextFormattedCitation":"(L. Li et al., 2022; Rice et al., 2018)","previouslyFormattedCitation":"(L. Li et al., 2022; Rice et al., 2018)"},"properties":{"noteIndex":0},"schema":"https://github.com/citation-style-language/schema/raw/master/csl-citation.json"}</w:instrText>
      </w:r>
      <w:r>
        <w:rPr>
          <w:rFonts w:ascii="Times New Roman" w:hAnsi="Times New Roman" w:cs="Times New Roman"/>
          <w:sz w:val="24"/>
          <w:szCs w:val="24"/>
        </w:rPr>
        <w:fldChar w:fldCharType="separate"/>
      </w:r>
      <w:r w:rsidRPr="00A51C04">
        <w:rPr>
          <w:rFonts w:ascii="Times New Roman" w:hAnsi="Times New Roman" w:cs="Times New Roman"/>
          <w:noProof/>
          <w:sz w:val="24"/>
          <w:szCs w:val="24"/>
        </w:rPr>
        <w:t xml:space="preserve">Li et al. </w:t>
      </w:r>
      <w:r>
        <w:rPr>
          <w:rFonts w:ascii="Times New Roman" w:hAnsi="Times New Roman" w:cs="Times New Roman"/>
          <w:noProof/>
          <w:sz w:val="24"/>
          <w:szCs w:val="24"/>
        </w:rPr>
        <w:t>(</w:t>
      </w:r>
      <w:r w:rsidRPr="00A51C04">
        <w:rPr>
          <w:rFonts w:ascii="Times New Roman" w:hAnsi="Times New Roman" w:cs="Times New Roman"/>
          <w:noProof/>
          <w:sz w:val="24"/>
          <w:szCs w:val="24"/>
        </w:rPr>
        <w:t>2022</w:t>
      </w:r>
      <w:r>
        <w:rPr>
          <w:rFonts w:ascii="Times New Roman" w:hAnsi="Times New Roman" w:cs="Times New Roman"/>
          <w:noProof/>
          <w:sz w:val="24"/>
          <w:szCs w:val="24"/>
        </w:rPr>
        <w:t>)</w:t>
      </w:r>
      <w:r w:rsidRPr="00A51C04">
        <w:rPr>
          <w:rFonts w:ascii="Times New Roman" w:hAnsi="Times New Roman" w:cs="Times New Roman"/>
          <w:noProof/>
          <w:sz w:val="24"/>
          <w:szCs w:val="24"/>
        </w:rPr>
        <w:t xml:space="preserve">; </w:t>
      </w:r>
      <w:r>
        <w:rPr>
          <w:rFonts w:ascii="Times New Roman" w:hAnsi="Times New Roman" w:cs="Times New Roman"/>
          <w:noProof/>
          <w:sz w:val="24"/>
          <w:szCs w:val="24"/>
        </w:rPr>
        <w:t xml:space="preserve">and </w:t>
      </w:r>
      <w:r w:rsidRPr="00A51C04">
        <w:rPr>
          <w:rFonts w:ascii="Times New Roman" w:hAnsi="Times New Roman" w:cs="Times New Roman"/>
          <w:noProof/>
          <w:sz w:val="24"/>
          <w:szCs w:val="24"/>
        </w:rPr>
        <w:t xml:space="preserve">Rice et al. </w:t>
      </w:r>
      <w:r>
        <w:rPr>
          <w:rFonts w:ascii="Times New Roman" w:hAnsi="Times New Roman" w:cs="Times New Roman"/>
          <w:noProof/>
          <w:sz w:val="24"/>
          <w:szCs w:val="24"/>
        </w:rPr>
        <w:t>(</w:t>
      </w:r>
      <w:r w:rsidRPr="00A51C04">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430365" w:rsidRPr="00430365">
        <w:rPr>
          <w:rFonts w:ascii="Times New Roman" w:hAnsi="Times New Roman" w:cs="Times New Roman"/>
          <w:sz w:val="24"/>
          <w:szCs w:val="24"/>
        </w:rPr>
        <w:t>in contrast to hypothesis 1b</w:t>
      </w:r>
      <w:r>
        <w:rPr>
          <w:rFonts w:ascii="Times New Roman" w:hAnsi="Times New Roman" w:cs="Times New Roman"/>
          <w:sz w:val="24"/>
          <w:szCs w:val="24"/>
        </w:rPr>
        <w:t>,</w:t>
      </w:r>
      <w:r w:rsidR="00430365" w:rsidRPr="00430365">
        <w:rPr>
          <w:rFonts w:ascii="Times New Roman" w:hAnsi="Times New Roman" w:cs="Times New Roman"/>
          <w:sz w:val="24"/>
          <w:szCs w:val="24"/>
        </w:rPr>
        <w:t xml:space="preserve"> which shows no significant effect of confirmation expectation on satisfaction with T statistic 1.22 and p-value 0.22. </w:t>
      </w:r>
      <w:r>
        <w:rPr>
          <w:rFonts w:ascii="Times New Roman" w:hAnsi="Times New Roman" w:cs="Times New Roman"/>
          <w:sz w:val="24"/>
          <w:szCs w:val="24"/>
        </w:rPr>
        <w:t>Negative confirmation expectations can occur when users find that the information or experience they get does not confirm their previous expectations, the presence</w:t>
      </w:r>
      <w:r w:rsidR="00430365" w:rsidRPr="00430365">
        <w:rPr>
          <w:rFonts w:ascii="Times New Roman" w:hAnsi="Times New Roman" w:cs="Times New Roman"/>
          <w:sz w:val="24"/>
          <w:szCs w:val="24"/>
        </w:rPr>
        <w:t xml:space="preserve"> of disappointment, frustration, or even being deceived by the </w:t>
      </w:r>
      <w:r>
        <w:rPr>
          <w:rFonts w:ascii="Times New Roman" w:hAnsi="Times New Roman" w:cs="Times New Roman"/>
          <w:sz w:val="24"/>
          <w:szCs w:val="24"/>
        </w:rPr>
        <w:t>Tokopedia</w:t>
      </w:r>
      <w:r w:rsidR="00430365" w:rsidRPr="00430365">
        <w:rPr>
          <w:rFonts w:ascii="Times New Roman" w:hAnsi="Times New Roman" w:cs="Times New Roman"/>
          <w:sz w:val="24"/>
          <w:szCs w:val="24"/>
        </w:rPr>
        <w:t xml:space="preserve"> e-commerce platform. </w:t>
      </w:r>
      <w:r>
        <w:rPr>
          <w:rFonts w:ascii="Times New Roman" w:hAnsi="Times New Roman" w:cs="Times New Roman"/>
          <w:sz w:val="24"/>
          <w:szCs w:val="24"/>
        </w:rPr>
        <w:t>This result is in line with research by Chiu et al.</w:t>
      </w:r>
    </w:p>
    <w:p w14:paraId="741367D7" w14:textId="59212043" w:rsidR="002E6C2A" w:rsidRDefault="00275301" w:rsidP="00275301">
      <w:pPr>
        <w:spacing w:after="0"/>
        <w:ind w:firstLine="284"/>
        <w:jc w:val="both"/>
        <w:rPr>
          <w:rFonts w:ascii="Times New Roman" w:hAnsi="Times New Roman" w:cs="Times New Roman"/>
          <w:sz w:val="24"/>
          <w:szCs w:val="24"/>
        </w:rPr>
      </w:pPr>
      <w:r>
        <w:rPr>
          <w:rFonts w:ascii="Times New Roman" w:hAnsi="Times New Roman" w:cs="Times New Roman"/>
          <w:sz w:val="24"/>
          <w:szCs w:val="24"/>
        </w:rPr>
        <w:t>H</w:t>
      </w:r>
      <w:r w:rsidRPr="00275301">
        <w:rPr>
          <w:rFonts w:ascii="Times New Roman" w:hAnsi="Times New Roman" w:cs="Times New Roman"/>
          <w:sz w:val="24"/>
          <w:szCs w:val="24"/>
        </w:rPr>
        <w:t xml:space="preserve">ypotheses 2a and 2b show a positive relationship between privacy cynicism </w:t>
      </w:r>
      <w:r w:rsidR="00A51C04">
        <w:rPr>
          <w:rFonts w:ascii="Times New Roman" w:hAnsi="Times New Roman" w:cs="Times New Roman"/>
          <w:sz w:val="24"/>
          <w:szCs w:val="24"/>
        </w:rPr>
        <w:t>and</w:t>
      </w:r>
      <w:r w:rsidRPr="00275301">
        <w:rPr>
          <w:rFonts w:ascii="Times New Roman" w:hAnsi="Times New Roman" w:cs="Times New Roman"/>
          <w:sz w:val="24"/>
          <w:szCs w:val="24"/>
        </w:rPr>
        <w:t xml:space="preserve"> satisfaction and trust, with a T statistic value of 3.97</w:t>
      </w:r>
      <w:r w:rsidR="00A51C04">
        <w:rPr>
          <w:rFonts w:ascii="Times New Roman" w:hAnsi="Times New Roman" w:cs="Times New Roman"/>
          <w:sz w:val="24"/>
          <w:szCs w:val="24"/>
        </w:rPr>
        <w:t>,</w:t>
      </w:r>
      <w:r w:rsidRPr="00275301">
        <w:rPr>
          <w:rFonts w:ascii="Times New Roman" w:hAnsi="Times New Roman" w:cs="Times New Roman"/>
          <w:sz w:val="24"/>
          <w:szCs w:val="24"/>
        </w:rPr>
        <w:t xml:space="preserve"> 11.27 and a p-value of 0.00. The existence of privacy cynicism in increasing satisfaction has a low effect at the structural level with an f square value = 0.03, while trust has a moderate effect with a structural level f square value of 0.30. Thus, it can be concluded that hypotheses </w:t>
      </w:r>
      <w:r w:rsidR="00A51C04">
        <w:rPr>
          <w:rFonts w:ascii="Times New Roman" w:hAnsi="Times New Roman" w:cs="Times New Roman"/>
          <w:sz w:val="24"/>
          <w:szCs w:val="24"/>
        </w:rPr>
        <w:t>2</w:t>
      </w:r>
      <w:r w:rsidRPr="00275301">
        <w:rPr>
          <w:rFonts w:ascii="Times New Roman" w:hAnsi="Times New Roman" w:cs="Times New Roman"/>
          <w:sz w:val="24"/>
          <w:szCs w:val="24"/>
        </w:rPr>
        <w:t xml:space="preserve">a and </w:t>
      </w:r>
      <w:r w:rsidR="00A51C04">
        <w:rPr>
          <w:rFonts w:ascii="Times New Roman" w:hAnsi="Times New Roman" w:cs="Times New Roman"/>
          <w:sz w:val="24"/>
          <w:szCs w:val="24"/>
        </w:rPr>
        <w:t>2b</w:t>
      </w:r>
      <w:r w:rsidRPr="00275301">
        <w:rPr>
          <w:rFonts w:ascii="Times New Roman" w:hAnsi="Times New Roman" w:cs="Times New Roman"/>
          <w:sz w:val="24"/>
          <w:szCs w:val="24"/>
        </w:rPr>
        <w:t xml:space="preserve"> are accepted</w:t>
      </w:r>
      <w:r w:rsidR="00A51C04">
        <w:rPr>
          <w:rFonts w:ascii="Times New Roman" w:hAnsi="Times New Roman" w:cs="Times New Roman"/>
          <w:sz w:val="24"/>
          <w:szCs w:val="24"/>
        </w:rPr>
        <w:t>;</w:t>
      </w:r>
      <w:r w:rsidRPr="00275301">
        <w:rPr>
          <w:rFonts w:ascii="Times New Roman" w:hAnsi="Times New Roman" w:cs="Times New Roman"/>
          <w:sz w:val="24"/>
          <w:szCs w:val="24"/>
        </w:rPr>
        <w:t xml:space="preserve"> these results are in line with research from </w:t>
      </w:r>
      <w:r w:rsidR="00A51C04">
        <w:rPr>
          <w:rFonts w:ascii="Times New Roman" w:hAnsi="Times New Roman" w:cs="Times New Roman"/>
          <w:sz w:val="24"/>
          <w:szCs w:val="24"/>
        </w:rPr>
        <w:fldChar w:fldCharType="begin" w:fldLock="1"/>
      </w:r>
      <w:r w:rsidR="00DA7483">
        <w:rPr>
          <w:rFonts w:ascii="Times New Roman" w:hAnsi="Times New Roman" w:cs="Times New Roman"/>
          <w:sz w:val="24"/>
          <w:szCs w:val="24"/>
        </w:rPr>
        <w:instrText>ADDIN CSL_CITATION {"citationItems":[{"id":"ITEM-1","itemData":{"DOI":"10.1016/j.chb.2022.107638","ISSN":"07475632","abstract":"In this era of virtual communication, online user's attitudes towards privacy have attracted the attention of social media researchers and practitioners as they continued to debate whether “online privacy” is an obsolete topic. While some scholars argued that individuals are deeply concerned about their online privacy, others have suggested that despite being cynical about the practises of social media companies, users were happy to disclose personal information in exchange for small rewards. There is consequently a gap between perceptions and practises when it comes to online privacy. Grounded on Expectation Confirmation Theory (ECM), we surveyed 475 social media users to help determine whether privacy cynicism is negatively related to satisfaction and trust in social media. Results indicated that privacy cynicism significantly affected users' satisfaction with social media. However, privacy cynicism did not significantly affect users' trust of social media. This research has important implications for post-technology adoption theories as well as for social media platforms, which would help users better understand public attitudes towards privacy and its impact on their satisfaction.","author":[{"dropping-particle":"","family":"Khan","given":"Md Irfanuzzaman","non-dropping-particle":"","parse-names":false,"suffix":""},{"dropping-particle":"","family":"Loh","given":"Jennifer (M I.).","non-dropping-particle":"","parse-names":false,"suffix":""},{"dropping-particle":"","family":"Hossain","given":"Afsana","non-dropping-particle":"","parse-names":false,"suffix":""},{"dropping-particle":"","family":"Hasan Talukder","given":"Md Jakir","non-dropping-particle":"","parse-names":false,"suffix":""}],"container-title":"Computers in Human Behavior","id":"ITEM-1","issue":"December 2022","issued":{"date-parts":[["2023"]]},"page":"107638","publisher":"Elsevier Ltd","title":"Cynicism as strength: Privacy cynicism, satisfaction and trust among social media users","type":"article-journal","volume":"142"},"uris":["http://www.mendeley.com/documents/?uuid=07dd37b2-b2b6-4f59-aec0-1d65f8428281"]},{"id":"ITEM-2","itemData":{"DOI":"10.1108/itp-10-2021-0817","abstract":"PurposeBased on the cognition–affect–conation pattern, this study explores the factors that affect the intention to use facial recognition services (FRS). The study adopts the driving factor perspective to examine how network externalities influence FRS use intention through the mediating role of satisfaction and the barrier factor perspective to analyze how perceived privacy risk affects FRS use intention through the mediating role of privacy cynicism.Design/methodology/approachThe data collected from 478 Chinese FRS users are analyzed via partial least squares-based structural equation modeling (PLS-SEM).FindingsThe study produces the following results. (1) FRS use intention is motivated directly by the positive affective factor of satisfaction and the negative affective factor of privacy cynicism. (2) Satisfaction is affected by cognitive factors related to network externalities. Perceived complementarity and perceived compatibility, two indirect network externalities, positively affect satisfaction, whereas perceived critical mass, a direct network externality, does not significantly affect satisfaction. In addition, perceived privacy risk generates privacy cynicism. (3) Resistance to change positively moderates the relationship between privacy cynicism and intention to use FRS.Originality/valueThis study extends knowledge on people's use of FRS by exploring affect- and cognitive-based factors and finding that the affect-based factors (satisfaction and privacy cynicism) play fully mediating roles in the relationship between the cognitive-based factors and use intention. This study also expands the cognitive boundaries of FRS use by exploring the functional condition between affect-based factors and use intention, that is, the moderating role of resistance to use.","author":[{"dropping-particle":"","family":"Lyu","given":"Tu","non-dropping-particle":"","parse-names":false,"suffix":""},{"dropping-particle":"","family":"Guo","given":"Yulin","non-dropping-particle":"","parse-names":false,"suffix":""},{"dropping-particle":"","family":"Chen","given":"Hao","non-dropping-particle":"","parse-names":false,"suffix":""}],"container-title":"Information Technology and People","id":"ITEM-2","issued":{"date-parts":[["2023"]]},"title":"Understanding People's Intention to Use Facial Recognition Services: The Roles of Network Externality and Privacy Cynicism","type":"article-journal"},"uris":["http://www.mendeley.com/documents/?uuid=df42597c-2297-4384-b923-96c3a6a0b3f0"]},{"id":"ITEM-3","itemData":{"DOI":"10.5817/CP2016-4-7","ISSN":"18027962","abstract":"Privacy concerns among Internet users are consistently found to be high. At the same time, these concerns do not appear to generate a corresponding wave of privacy protection behavior. A number of studies have addressed the apparent divergence between users’ privacy concerns and behavior, with results varying according to context. Previous research has examined user trust, lack of risk awareness and the privacy calculus as potential solutions to the “privacy paradox”. Complementing these perspectives, we propose that some users faced with seemingly overwhelming privacy threats develop an attitude of “privacy cynicism”, leading to a resigned neglect of protection behavior. Privacy cynicism serves as a cognitive coping mechanism, allowing users to rationalize taking advantage of online services despite serious privacy concerns. We conduct an interdisciplinary literature review to define the core concept, then empirically substantiate it based on qualitative data collected among German Internet users.","author":[{"dropping-particle":"","family":"Hoffmann","given":"Christian Pieter","non-dropping-particle":"","parse-names":false,"suffix":""},{"dropping-particle":"","family":"Lutz","given":"Christoph","non-dropping-particle":"","parse-names":false,"suffix":""},{"dropping-particle":"","family":"Ranzini","given":"Giulia","non-dropping-particle":"","parse-names":false,"suffix":""}],"container-title":"Cyberpsychology","id":"ITEM-3","issue":"4","issued":{"date-parts":[["2016"]]},"title":"Privacy cynicism: A new approach to the privacy paradox","type":"article-journal","volume":"10"},"uris":["http://www.mendeley.com/documents/?uuid=482c23d8-2906-4003-a7bf-35405886588f"]},{"id":"ITEM-4","itemData":{"DOI":"10.1002/mar.21873","abstract":"AbstractThis study draws upon Behavioral Reasoning Theory and the Technology Acceptance Model to investigate consumer engagement with AI‐powered voice assistants. The study creates a theoretical model to examine the effects of reasons for and reasons against using voice assistants. This research exemplifies attitudes towards using voice assistants and willingness to provide personal information as key constructs. The current study tests data from 491 voice assistant users via mTurk, and we utilize a multimethod analysis scheme including the partial least squares technique and the fuzzy set qualitative comparative analysis approach to provide an assessment of the proposed model. Findings indicated that while privacy cynicism has a negative impact upon the attitude towards using voice assistants, the countervailing values of trust, perceived usefulness, and ease of use have off‐setting positive impact. The study also highlights the moderating role of habit on the behavioral mechanisms driving consumer engagement via willingness to provide privacy information. This research advances the emerging literature on voice assistants with respect to privacy‐related factors driving consumer engagement.","author":[{"dropping-particle":"","family":"Açikgöz","given":"Fulya","non-dropping-particle":"","parse-names":false,"suffix":""},{"dropping-particle":"","family":"Perez‐Vega","given":"Rodrigo","non-dropping-particle":"","parse-names":false,"suffix":""},{"dropping-particle":"","family":"Okumuş","given":"Fevzi","non-dropping-particle":"","parse-names":false,"suffix":""},{"dropping-particle":"","family":"Stylos","given":"Nikolaos","non-dropping-particle":"","parse-names":false,"suffix":""}],"container-title":"Psychology and Marketing","id":"ITEM-4","issued":{"date-parts":[["2023"]]},"title":"Consumer Engagement With AI‐powered Voice Assistants: A Behavioral Reasoning Perspective","type":"article-journal"},"uris":["http://www.mendeley.com/documents/?uuid=f334e905-56af-41f7-89fb-01a0b5d0af49"]}],"mendeley":{"formattedCitation":"(Açikgöz et al., 2023; C. P. Hoffmann et al., 2016; Khan, Loh, Hossain, &amp; Hasan Talukder, 2023; Lyu et al., 2023)","manualFormatting":"Açikgöz et al. (2023); C. P. Hoffmann et al. (2016;). Data leaks in the context of e-commerce can create a negative spiral that affects the level of privacy skepticism, satisfaction, and trust. This decrease in satisfaction can then lead to a decrease in consumer trust in the e-commerce platform, as trust is an important foundation in the relationship between consumers and companies (Khan, Loh, Hossain, &amp; Hasan Talukder, 2023; Lyu et al., 2023)","plainTextFormattedCitation":"(Açikgöz et al., 2023; C. P. Hoffmann et al., 2016; Khan, Loh, Hossain, &amp; Hasan Talukder, 2023; Lyu et al., 2023)","previouslyFormattedCitation":"(Açikgöz et al., 2023; C. P. Hoffmann et al., 2016; Khan, Loh, Hossain, &amp; Hasan Talukder, 2023; Lyu et al., 2023)"},"properties":{"noteIndex":0},"schema":"https://github.com/citation-style-language/schema/raw/master/csl-citation.json"}</w:instrText>
      </w:r>
      <w:r w:rsidR="00A51C04">
        <w:rPr>
          <w:rFonts w:ascii="Times New Roman" w:hAnsi="Times New Roman" w:cs="Times New Roman"/>
          <w:sz w:val="24"/>
          <w:szCs w:val="24"/>
        </w:rPr>
        <w:fldChar w:fldCharType="separate"/>
      </w:r>
      <w:r w:rsidR="00A51C04" w:rsidRPr="00A51C04">
        <w:rPr>
          <w:rFonts w:ascii="Times New Roman" w:hAnsi="Times New Roman" w:cs="Times New Roman"/>
          <w:noProof/>
          <w:sz w:val="24"/>
          <w:szCs w:val="24"/>
        </w:rPr>
        <w:t xml:space="preserve">Açikgöz et al. </w:t>
      </w:r>
      <w:r w:rsidR="00DA7483">
        <w:rPr>
          <w:rFonts w:ascii="Times New Roman" w:hAnsi="Times New Roman" w:cs="Times New Roman"/>
          <w:noProof/>
          <w:sz w:val="24"/>
          <w:szCs w:val="24"/>
        </w:rPr>
        <w:t>(</w:t>
      </w:r>
      <w:r w:rsidR="00A51C04" w:rsidRPr="00A51C04">
        <w:rPr>
          <w:rFonts w:ascii="Times New Roman" w:hAnsi="Times New Roman" w:cs="Times New Roman"/>
          <w:noProof/>
          <w:sz w:val="24"/>
          <w:szCs w:val="24"/>
        </w:rPr>
        <w:t>2023</w:t>
      </w:r>
      <w:r w:rsidR="00DA7483">
        <w:rPr>
          <w:rFonts w:ascii="Times New Roman" w:hAnsi="Times New Roman" w:cs="Times New Roman"/>
          <w:noProof/>
          <w:sz w:val="24"/>
          <w:szCs w:val="24"/>
        </w:rPr>
        <w:t>)</w:t>
      </w:r>
      <w:r w:rsidR="00A51C04" w:rsidRPr="00A51C04">
        <w:rPr>
          <w:rFonts w:ascii="Times New Roman" w:hAnsi="Times New Roman" w:cs="Times New Roman"/>
          <w:noProof/>
          <w:sz w:val="24"/>
          <w:szCs w:val="24"/>
        </w:rPr>
        <w:t xml:space="preserve">; C. P. Hoffmann et al. </w:t>
      </w:r>
      <w:r w:rsidR="00DA7483">
        <w:rPr>
          <w:rFonts w:ascii="Times New Roman" w:hAnsi="Times New Roman" w:cs="Times New Roman"/>
          <w:noProof/>
          <w:sz w:val="24"/>
          <w:szCs w:val="24"/>
        </w:rPr>
        <w:t>(</w:t>
      </w:r>
      <w:r w:rsidR="00A51C04" w:rsidRPr="00A51C04">
        <w:rPr>
          <w:rFonts w:ascii="Times New Roman" w:hAnsi="Times New Roman" w:cs="Times New Roman"/>
          <w:noProof/>
          <w:sz w:val="24"/>
          <w:szCs w:val="24"/>
        </w:rPr>
        <w:t>2016;</w:t>
      </w:r>
      <w:r w:rsidR="00DA7483">
        <w:rPr>
          <w:rFonts w:ascii="Times New Roman" w:hAnsi="Times New Roman" w:cs="Times New Roman"/>
          <w:noProof/>
          <w:sz w:val="24"/>
          <w:szCs w:val="24"/>
        </w:rPr>
        <w:t xml:space="preserve">). </w:t>
      </w:r>
      <w:r w:rsidR="00DA7483" w:rsidRPr="00DA7483">
        <w:rPr>
          <w:rFonts w:ascii="Times New Roman" w:hAnsi="Times New Roman" w:cs="Times New Roman"/>
          <w:noProof/>
          <w:sz w:val="24"/>
          <w:szCs w:val="24"/>
        </w:rPr>
        <w:t>Data leaks in the context of e-commerce can create a negative spiral that affects the level of privacy skepticism, satisfaction, and trust. This decrease in satisfaction can then lead to a decrease in consumer trust in the e-commerce platform, as trust is an important foundation in the relationship between consumers and companies</w:t>
      </w:r>
      <w:r w:rsidR="00DA7483">
        <w:rPr>
          <w:rFonts w:ascii="Times New Roman" w:hAnsi="Times New Roman" w:cs="Times New Roman"/>
          <w:noProof/>
          <w:sz w:val="24"/>
          <w:szCs w:val="24"/>
        </w:rPr>
        <w:t xml:space="preserve"> (</w:t>
      </w:r>
      <w:r w:rsidR="00A51C04" w:rsidRPr="00A51C04">
        <w:rPr>
          <w:rFonts w:ascii="Times New Roman" w:hAnsi="Times New Roman" w:cs="Times New Roman"/>
          <w:noProof/>
          <w:sz w:val="24"/>
          <w:szCs w:val="24"/>
        </w:rPr>
        <w:t>Khan, Loh, Hossain, &amp; Hasan Talukder, 2023; Lyu et al., 2023)</w:t>
      </w:r>
      <w:r w:rsidR="00A51C04">
        <w:rPr>
          <w:rFonts w:ascii="Times New Roman" w:hAnsi="Times New Roman" w:cs="Times New Roman"/>
          <w:sz w:val="24"/>
          <w:szCs w:val="24"/>
        </w:rPr>
        <w:fldChar w:fldCharType="end"/>
      </w:r>
      <w:r w:rsidRPr="00275301">
        <w:rPr>
          <w:rFonts w:ascii="Times New Roman" w:hAnsi="Times New Roman" w:cs="Times New Roman"/>
          <w:sz w:val="24"/>
          <w:szCs w:val="24"/>
        </w:rPr>
        <w:t>.</w:t>
      </w:r>
      <w:r w:rsidR="00DA7483">
        <w:rPr>
          <w:rFonts w:ascii="Times New Roman" w:hAnsi="Times New Roman" w:cs="Times New Roman"/>
          <w:sz w:val="24"/>
          <w:szCs w:val="24"/>
        </w:rPr>
        <w:t xml:space="preserve"> </w:t>
      </w:r>
    </w:p>
    <w:p w14:paraId="78BFD115" w14:textId="08D22336" w:rsidR="00741146" w:rsidRPr="00275301" w:rsidRDefault="00275301" w:rsidP="00275301">
      <w:pPr>
        <w:spacing w:after="0"/>
        <w:ind w:firstLine="284"/>
        <w:jc w:val="both"/>
        <w:rPr>
          <w:rFonts w:ascii="Times New Roman" w:hAnsi="Times New Roman" w:cs="Times New Roman"/>
          <w:sz w:val="24"/>
          <w:szCs w:val="24"/>
        </w:rPr>
      </w:pPr>
      <w:r w:rsidRPr="00275301">
        <w:rPr>
          <w:rFonts w:ascii="Times New Roman" w:hAnsi="Times New Roman" w:cs="Times New Roman"/>
          <w:sz w:val="24"/>
          <w:szCs w:val="24"/>
        </w:rPr>
        <w:t xml:space="preserve">Furthermore, hypotheses 3a and 3b also show a positive relationship between perceived usefulness on satisfaction and trust, with a T statistic value of 3.20; 5.94 and a p-value of 0.00. Thus, it can be concluded that hypotheses 1a and 1c are accepted, these results are in line with research from </w:t>
      </w:r>
      <w:r w:rsidR="00DA7483">
        <w:rPr>
          <w:rFonts w:ascii="Times New Roman" w:hAnsi="Times New Roman" w:cs="Times New Roman"/>
          <w:sz w:val="24"/>
          <w:szCs w:val="24"/>
        </w:rPr>
        <w:fldChar w:fldCharType="begin" w:fldLock="1"/>
      </w:r>
      <w:r w:rsidR="00DA7483">
        <w:rPr>
          <w:rFonts w:ascii="Times New Roman" w:hAnsi="Times New Roman" w:cs="Times New Roman"/>
          <w:sz w:val="24"/>
          <w:szCs w:val="24"/>
        </w:rPr>
        <w:instrText>ADDIN CSL_CITATION {"citationItems":[{"id":"ITEM-1","itemData":{"DOI":"10.21511/im.16(2).2020.02","abstract":"Given the negative utilitarianism and difficulty in maintaining long-term loyalty, hospitals resort to a variety of images that define and redefine their relationship strategies in order to stay patient-centric. As in any other sector, in healthcare, patients play an important role in service design and delivery. The basic services of medical appointment scheduling, online payment and health information search are recognized as one of the most important elements that increase patient footfall, service planning, patient satisfaction and their continued usage, in particular in developing economies such as India. This study seeks to understanding the basic e-Health services continuance usage intention among patients by integrating the Expectation Confirmation Model (ECM) and the Technology Acceptance Model (TAM) and extending them by including certain external variables. With a well-structured questionnaire, a survey of 453 respondents – out-patients and care-givers, who should have used e-Health services at least once, in particular, visited multispecialty hospitals, revealed that along with the ECM and TAM constructs such as satisfaction, confirmation, perceived ease-of-use, and perceived usefulness, the external variables such as trust, social influence, perceived service quality, and perceived privacy and security had a significant influence (p &amp;amp;amp;lt; 0.05) on e-Health services continuance usage. The main findings of the study contribute to developing and empirically testing a model that explains the basic process of motivating the e-Health service users for continuance usage intention.","author":[{"dropping-particle":"","family":"Kumar","given":"Kaushal","non-dropping-particle":"","parse-names":false,"suffix":""},{"dropping-particle":"","family":"Natarajan","given":"Subhashree","non-dropping-particle":"","parse-names":false,"suffix":""}],"container-title":"Innovative Marketing","id":"ITEM-1","issued":{"date-parts":[["2020"]]},"title":"An Extension of the Expectation Confirmation Model (ECM) to Study Continuance Behavior in Using E-Health Services","type":"article-journal"},"uris":["http://www.mendeley.com/documents/?uuid=451887ca-c07c-47c5-8d55-35d3d917007b"]},{"id":"ITEM-2","itemData":{"DOI":"10.3389/fpsyg.2022.984931","abstract":"E-wallet is one of the latest innovations in the field of payments. However, despite numerous studies on the adoption of e-finance systems, the post-adoption phase is largely neglected. In this paper, we use the extended Expectation Confirmation Model (ECM) to address this gap by focusing on the study of consumers’ continuous intentions regarding the use of an e-wallet service. We conducted an electronic questionnaire-based survey among 503 e-wallet users in Palestine. Using structural equation modeling to analyze the conceptual model of the study, our results confirm that satisfaction, trust, and perceived usefulness have a significant impact on consumers’ continuous intention regarding e-wallet. In addition, the study found that perceived security has an insignificant impact on consumer satisfaction. The study has several implications: E-wallet providers should improve their services in terms of performance, privacy, and security to ensure customer loyalty in this competitive industry.","author":[{"dropping-particle":"","family":"Daragmeh","given":"Ahmad","non-dropping-particle":"","parse-names":false,"suffix":""},{"dropping-particle":"","family":"Saleem","given":"Adil","non-dropping-particle":"","parse-names":false,"suffix":""},{"dropping-particle":"","family":"Bárczi","given":"Judit","non-dropping-particle":"","parse-names":false,"suffix":""},{"dropping-particle":"","family":"Sági","given":"Judit","non-dropping-particle":"","parse-names":false,"suffix":""}],"container-title":"Frontiers in Psychology","id":"ITEM-2","issued":{"date-parts":[["2022"]]},"title":"Drivers of Post-Adoption of E-Wallet Among Academics in Palestine: An Extension of the Expectation Confirmation Model","type":"article-journal"},"uris":["http://www.mendeley.com/documents/?uuid=0dbda96c-eb55-4bc4-8ed5-c2ce1afb212a"]}],"mendeley":{"formattedCitation":"(Daragmeh et al., 2022; Kumar &amp; Natarajan, 2020)","manualFormatting":"Daragmeh et al. (2022) and Kumar &amp; Natarajan (2020)","plainTextFormattedCitation":"(Daragmeh et al., 2022; Kumar &amp; Natarajan, 2020)","previouslyFormattedCitation":"(Daragmeh et al., 2022; Kumar &amp; Natarajan, 2020)"},"properties":{"noteIndex":0},"schema":"https://github.com/citation-style-language/schema/raw/master/csl-citation.json"}</w:instrText>
      </w:r>
      <w:r w:rsidR="00DA7483">
        <w:rPr>
          <w:rFonts w:ascii="Times New Roman" w:hAnsi="Times New Roman" w:cs="Times New Roman"/>
          <w:sz w:val="24"/>
          <w:szCs w:val="24"/>
        </w:rPr>
        <w:fldChar w:fldCharType="separate"/>
      </w:r>
      <w:r w:rsidR="00DA7483" w:rsidRPr="00DA7483">
        <w:rPr>
          <w:rFonts w:ascii="Times New Roman" w:hAnsi="Times New Roman" w:cs="Times New Roman"/>
          <w:noProof/>
          <w:sz w:val="24"/>
          <w:szCs w:val="24"/>
        </w:rPr>
        <w:t xml:space="preserve">Daragmeh et al. </w:t>
      </w:r>
      <w:r w:rsidR="00DA7483">
        <w:rPr>
          <w:rFonts w:ascii="Times New Roman" w:hAnsi="Times New Roman" w:cs="Times New Roman"/>
          <w:noProof/>
          <w:sz w:val="24"/>
          <w:szCs w:val="24"/>
        </w:rPr>
        <w:t>(</w:t>
      </w:r>
      <w:r w:rsidR="00DA7483" w:rsidRPr="00DA7483">
        <w:rPr>
          <w:rFonts w:ascii="Times New Roman" w:hAnsi="Times New Roman" w:cs="Times New Roman"/>
          <w:noProof/>
          <w:sz w:val="24"/>
          <w:szCs w:val="24"/>
        </w:rPr>
        <w:t>2022</w:t>
      </w:r>
      <w:r w:rsidR="00DA7483">
        <w:rPr>
          <w:rFonts w:ascii="Times New Roman" w:hAnsi="Times New Roman" w:cs="Times New Roman"/>
          <w:noProof/>
          <w:sz w:val="24"/>
          <w:szCs w:val="24"/>
        </w:rPr>
        <w:t>) and</w:t>
      </w:r>
      <w:r w:rsidR="00DA7483" w:rsidRPr="00DA7483">
        <w:rPr>
          <w:rFonts w:ascii="Times New Roman" w:hAnsi="Times New Roman" w:cs="Times New Roman"/>
          <w:noProof/>
          <w:sz w:val="24"/>
          <w:szCs w:val="24"/>
        </w:rPr>
        <w:t xml:space="preserve"> Kumar &amp; Natarajan </w:t>
      </w:r>
      <w:r w:rsidR="00DA7483">
        <w:rPr>
          <w:rFonts w:ascii="Times New Roman" w:hAnsi="Times New Roman" w:cs="Times New Roman"/>
          <w:noProof/>
          <w:sz w:val="24"/>
          <w:szCs w:val="24"/>
        </w:rPr>
        <w:t>(</w:t>
      </w:r>
      <w:r w:rsidR="00DA7483" w:rsidRPr="00DA7483">
        <w:rPr>
          <w:rFonts w:ascii="Times New Roman" w:hAnsi="Times New Roman" w:cs="Times New Roman"/>
          <w:noProof/>
          <w:sz w:val="24"/>
          <w:szCs w:val="24"/>
        </w:rPr>
        <w:t>2020)</w:t>
      </w:r>
      <w:r w:rsidR="00DA7483">
        <w:rPr>
          <w:rFonts w:ascii="Times New Roman" w:hAnsi="Times New Roman" w:cs="Times New Roman"/>
          <w:sz w:val="24"/>
          <w:szCs w:val="24"/>
        </w:rPr>
        <w:fldChar w:fldCharType="end"/>
      </w:r>
      <w:r w:rsidRPr="00275301">
        <w:rPr>
          <w:rFonts w:ascii="Times New Roman" w:hAnsi="Times New Roman" w:cs="Times New Roman"/>
          <w:sz w:val="24"/>
          <w:szCs w:val="24"/>
        </w:rPr>
        <w:t>. However, the presence of perceived usefulness in increasing satisfaction and trust has a low effect at the structural level with an f square value of 0.02; 0.06.</w:t>
      </w:r>
      <w:r w:rsidR="00DA7483">
        <w:rPr>
          <w:rFonts w:ascii="Times New Roman" w:hAnsi="Times New Roman" w:cs="Times New Roman"/>
          <w:sz w:val="24"/>
          <w:szCs w:val="24"/>
        </w:rPr>
        <w:t xml:space="preserve"> </w:t>
      </w:r>
      <w:r w:rsidR="00DA7483" w:rsidRPr="00DA7483">
        <w:rPr>
          <w:rFonts w:ascii="Times New Roman" w:hAnsi="Times New Roman" w:cs="Times New Roman"/>
          <w:sz w:val="24"/>
          <w:szCs w:val="24"/>
        </w:rPr>
        <w:t xml:space="preserve">In this study, data leakage </w:t>
      </w:r>
      <w:r w:rsidR="00DA7483">
        <w:rPr>
          <w:rFonts w:ascii="Times New Roman" w:hAnsi="Times New Roman" w:cs="Times New Roman"/>
          <w:sz w:val="24"/>
          <w:szCs w:val="24"/>
        </w:rPr>
        <w:t>significantly impacted</w:t>
      </w:r>
      <w:r w:rsidR="00DA7483" w:rsidRPr="00DA7483">
        <w:rPr>
          <w:rFonts w:ascii="Times New Roman" w:hAnsi="Times New Roman" w:cs="Times New Roman"/>
          <w:sz w:val="24"/>
          <w:szCs w:val="24"/>
        </w:rPr>
        <w:t xml:space="preserve"> perceptions of perceived usefulness, satisfaction, and consumer trust. When a data breach occurs, consumers tend to question the value they perceive from using the platform, potentially reducing their level of satisfaction with the e-commerce service</w:t>
      </w:r>
      <w:r w:rsidR="00DA7483">
        <w:rPr>
          <w:rFonts w:ascii="Times New Roman" w:hAnsi="Times New Roman" w:cs="Times New Roman"/>
          <w:sz w:val="24"/>
          <w:szCs w:val="24"/>
        </w:rPr>
        <w:t xml:space="preserve"> </w:t>
      </w:r>
      <w:r w:rsidR="00DA7483">
        <w:rPr>
          <w:rFonts w:ascii="Times New Roman" w:hAnsi="Times New Roman" w:cs="Times New Roman"/>
          <w:sz w:val="24"/>
          <w:szCs w:val="24"/>
        </w:rPr>
        <w:fldChar w:fldCharType="begin" w:fldLock="1"/>
      </w:r>
      <w:r w:rsidR="00BF565D">
        <w:rPr>
          <w:rFonts w:ascii="Times New Roman" w:hAnsi="Times New Roman" w:cs="Times New Roman"/>
          <w:sz w:val="24"/>
          <w:szCs w:val="24"/>
        </w:rPr>
        <w:instrText>ADDIN CSL_CITATION {"citationItems":[{"id":"ITEM-1","itemData":{"DOI":"10.17559/tv-20190315145418","ISSN":"1330-3651","abstract":"Mobile social networking sites (SNS) have become one of the most popular means of online social interactions. However, that excessive and uncontrolled SNS use may have negative consequences. Recent statistics show that use of mobile SNS can be addictive for some individuals, which can lead to some significant behavioural or psychological problems. This study has extended the dual-process continuance model by examining the impact of users' levels of addiction as important factors that influence their continuance intention to use WeChat, as one of the most popular mobile SNS in China. Structural equation modelling was used to validate the proposed models and assumptions. Based on survey data from 495 valid responses of WeChat users, we found that the level of mobile SNS addiction augments users' perceptions of perceived usefulness, perceived enjoyment, trusting beliefs and habit, whereas it has no impact on users' satisfaction and loyalty. It can serve as a platform for future research on technology addiction, and for better understanding of addiction-driven system overuse behaviours and their effects on users. The results suggest that the increase in usage time and frequency of use does not necessarily mean higher satisfaction and loyalty to the mobile SNS, perhaps certain addictive symptoms occurring.","author":[{"dropping-particle":"","family":"Li","given":"Fang","non-dropping-particle":"","parse-names":false,"suffix":""},{"dropping-particle":"","family":"Liu","given":"Qihua","non-dropping-particle":"","parse-names":false,"suffix":""}],"container-title":"Tehnicki Vjesnik - Technical Gazette","id":"ITEM-1","issued":{"date-parts":[["2019"]]},"title":"Mobile SNS Addiction and User Continuance: An Empirical Investigation of WeChat","type":"article-journal"},"uris":["http://www.mendeley.com/documents/?uuid=c004ef46-4d29-420b-b826-99e736afadca"]}],"mendeley":{"formattedCitation":"(F. Li &amp; Liu, 2019)","plainTextFormattedCitation":"(F. Li &amp; Liu, 2019)","previouslyFormattedCitation":"(F. Li &amp; Liu, 2019)"},"properties":{"noteIndex":0},"schema":"https://github.com/citation-style-language/schema/raw/master/csl-citation.json"}</w:instrText>
      </w:r>
      <w:r w:rsidR="00DA7483">
        <w:rPr>
          <w:rFonts w:ascii="Times New Roman" w:hAnsi="Times New Roman" w:cs="Times New Roman"/>
          <w:sz w:val="24"/>
          <w:szCs w:val="24"/>
        </w:rPr>
        <w:fldChar w:fldCharType="separate"/>
      </w:r>
      <w:r w:rsidR="00DA7483" w:rsidRPr="00DA7483">
        <w:rPr>
          <w:rFonts w:ascii="Times New Roman" w:hAnsi="Times New Roman" w:cs="Times New Roman"/>
          <w:noProof/>
          <w:sz w:val="24"/>
          <w:szCs w:val="24"/>
        </w:rPr>
        <w:t>(F. Li &amp; Liu, 2019)</w:t>
      </w:r>
      <w:r w:rsidR="00DA7483">
        <w:rPr>
          <w:rFonts w:ascii="Times New Roman" w:hAnsi="Times New Roman" w:cs="Times New Roman"/>
          <w:sz w:val="24"/>
          <w:szCs w:val="24"/>
        </w:rPr>
        <w:fldChar w:fldCharType="end"/>
      </w:r>
      <w:r w:rsidR="00DA7483" w:rsidRPr="00DA7483">
        <w:rPr>
          <w:rFonts w:ascii="Times New Roman" w:hAnsi="Times New Roman" w:cs="Times New Roman"/>
          <w:sz w:val="24"/>
          <w:szCs w:val="24"/>
        </w:rPr>
        <w:t>.</w:t>
      </w:r>
    </w:p>
    <w:p w14:paraId="0FABFD49" w14:textId="3E9EE472" w:rsidR="00275301" w:rsidRPr="00275301" w:rsidRDefault="00275301" w:rsidP="00275301">
      <w:pPr>
        <w:spacing w:after="0"/>
        <w:ind w:firstLine="284"/>
        <w:jc w:val="both"/>
        <w:rPr>
          <w:rFonts w:ascii="Times New Roman" w:hAnsi="Times New Roman" w:cs="Times New Roman"/>
          <w:sz w:val="24"/>
          <w:szCs w:val="24"/>
        </w:rPr>
      </w:pPr>
      <w:r w:rsidRPr="00275301">
        <w:rPr>
          <w:rFonts w:ascii="Times New Roman" w:hAnsi="Times New Roman" w:cs="Times New Roman"/>
          <w:sz w:val="24"/>
          <w:szCs w:val="24"/>
        </w:rPr>
        <w:t>And finally, hypothesis 4 shows a positive relationship between trust and satisfaction, with a T statistic value of 3.33 and a p-value of 0.00. So, it can be concluded that hypothesis 4 is accepted, this result is in line with research from</w:t>
      </w:r>
      <w:r w:rsidR="00BF565D">
        <w:rPr>
          <w:rFonts w:ascii="Times New Roman" w:hAnsi="Times New Roman" w:cs="Times New Roman"/>
          <w:sz w:val="24"/>
          <w:szCs w:val="24"/>
        </w:rPr>
        <w:t xml:space="preserve"> </w:t>
      </w:r>
      <w:r w:rsidR="00BF565D">
        <w:rPr>
          <w:rFonts w:ascii="Times New Roman" w:hAnsi="Times New Roman" w:cs="Times New Roman"/>
          <w:sz w:val="24"/>
          <w:szCs w:val="24"/>
        </w:rPr>
        <w:fldChar w:fldCharType="begin" w:fldLock="1"/>
      </w:r>
      <w:r w:rsidR="00C269A7">
        <w:rPr>
          <w:rFonts w:ascii="Times New Roman" w:hAnsi="Times New Roman" w:cs="Times New Roman"/>
          <w:sz w:val="24"/>
          <w:szCs w:val="24"/>
        </w:rPr>
        <w:instrText>ADDIN CSL_CITATION {"citationItems":[{"id":"ITEM-1","itemData":{"DOI":"10.21511/im.19(2).2023.19","ISSN":"18142427","abstract":"The study aims to explore how consumer satisfaction influences consumer trust and, ultimately, builds strong consumer loyalty in the dynamic world of Indonesian e-commerce. The relevance of this study is determined by how e-commerce businesses can improve customer loyalty by enhancing consumer trust and satisfaction. The study used a quantitative research design and surveyed 230 consumers from Jakarta, Indonesia. The data analysis involved utilizing validation and descriptive statistics in MS Excel and inferential statistics through SmartPLS to draw meaningful conclusions. The results showed a positive, significant, and direct relationship between consumer satisfaction and consumer loyalty. The R2 for consumer loyalty indicates that consumer satisfaction and consumer trust explain 56.6% of the variances in consumer loyalty, whereas consumer satisfaction explains 37.4% of the variances in consumer trust. Furthermore, the findings showed that this relationship is strengthened when consumer trust is included as a mediator, demonstrating a complementary partial mediation indicating that trust enhances consumer loyalty. Thus, the study concludes that consumers are more likely to feel loyal to e-commerce websites when their satisfaction is combined with trust. It provides considerable insights into the determinants of consumer loyalty and emphasizes the importance of establishing trust in e-commerce websites as a critical strategy to enhance customer loyalty. This paper also contributes to the broader literature on consumer behavior and loyalty in the context of digital business, providing new insights and perspectives that can help shape future research in this area.","author":[{"dropping-particle":"","family":"Kurniadi","given":"Hadi","non-dropping-particle":"","parse-names":false,"suffix":""},{"dropping-particle":"","family":"Ali Saeed Rana","given":"Junaid","non-dropping-particle":"","parse-names":false,"suffix":""}],"container-title":"Innovative Marketing","id":"ITEM-1","issue":"2","issued":{"date-parts":[["2023","6","22"]]},"page":"236-249","title":"The power of trust: How does consumer trust impact satisfaction and loyalty in Indonesian digital business?","type":"article-journal","volume":"19"},"uris":["http://www.mendeley.com/documents/?uuid=63417787-e13b-49f9-8d53-f1f32aca888c"]},{"id":"ITEM-2","itemData":{"author":[{"dropping-particle":"","family":"Setyaningsih","given":"Oktania","non-dropping-particle":"","parse-names":false,"suffix":""}],"container-title":"Jurnal Bisnis &amp; Manajemen","id":"ITEM-2","issue":"1","issued":{"date-parts":[["2014"]]},"page":"67-80","title":"Pengaruh Persepsi Kualitas Pelayanan E-Commerce Terhadap Kepuasan Pelanggan, Kepercayaan dan Loyalitas pada Produk Fashion","type":"article-journal","volume":"14"},"uris":["http://www.mendeley.com/documents/?uuid=7612ffad-4524-4de9-b1b6-3e8127c10b6f"]},{"id":"ITEM-3","itemData":{"ISBN":"1201011213017","author":[{"dropping-particle":"","family":"Sativa","given":"Amila","non-dropping-particle":"","parse-names":false,"suffix":""},{"dropping-particle":"","family":"Astuti","given":"Sri Rahayu Tri","non-dropping-particle":"","parse-names":false,"suffix":""}],"container-title":"Diponegoro Journal of Management","id":"ITEM-3","issue":"3","issued":{"date-parts":[["2016"]]},"number-of-pages":"1-10","title":"Analisis Pengaruh E-Trust Dan E-Service Quality Terhadap E-Loyalty Dengan E-Satisfaction Sebagai Variabel Intervening (Studi pada Pengguna E-Commerce C2C Tokopedia)","type":"book","volume":"5"},"uris":["http://www.mendeley.com/documents/?uuid=5bcc1ae9-4903-4bcc-a8f0-477ea3dde7f0"]}],"mendeley":{"formattedCitation":"(Kurniadi &amp; Ali Saeed Rana, 2023; Sativa &amp; Astuti, 2016; Setyaningsih, 2014)","manualFormatting":"Kurniadi &amp; Ali Saeed Rana, (2023); Sativa &amp; Astuti (2016); Setyaningsih (2014)","plainTextFormattedCitation":"(Kurniadi &amp; Ali Saeed Rana, 2023; Sativa &amp; Astuti, 2016; Setyaningsih, 2014)","previouslyFormattedCitation":"(Kurniadi &amp; Ali Saeed Rana, 2023; Sativa &amp; Astuti, 2016; Setyaningsih, 2014)"},"properties":{"noteIndex":0},"schema":"https://github.com/citation-style-language/schema/raw/master/csl-citation.json"}</w:instrText>
      </w:r>
      <w:r w:rsidR="00BF565D">
        <w:rPr>
          <w:rFonts w:ascii="Times New Roman" w:hAnsi="Times New Roman" w:cs="Times New Roman"/>
          <w:sz w:val="24"/>
          <w:szCs w:val="24"/>
        </w:rPr>
        <w:fldChar w:fldCharType="separate"/>
      </w:r>
      <w:r w:rsidR="00BF565D" w:rsidRPr="00BF565D">
        <w:rPr>
          <w:rFonts w:ascii="Times New Roman" w:hAnsi="Times New Roman" w:cs="Times New Roman"/>
          <w:noProof/>
          <w:sz w:val="24"/>
          <w:szCs w:val="24"/>
        </w:rPr>
        <w:t xml:space="preserve">Kurniadi &amp; Ali Saeed Rana, </w:t>
      </w:r>
      <w:r w:rsidR="00BF565D">
        <w:rPr>
          <w:rFonts w:ascii="Times New Roman" w:hAnsi="Times New Roman" w:cs="Times New Roman"/>
          <w:noProof/>
          <w:sz w:val="24"/>
          <w:szCs w:val="24"/>
        </w:rPr>
        <w:t>(</w:t>
      </w:r>
      <w:r w:rsidR="00BF565D" w:rsidRPr="00BF565D">
        <w:rPr>
          <w:rFonts w:ascii="Times New Roman" w:hAnsi="Times New Roman" w:cs="Times New Roman"/>
          <w:noProof/>
          <w:sz w:val="24"/>
          <w:szCs w:val="24"/>
        </w:rPr>
        <w:t>2023</w:t>
      </w:r>
      <w:r w:rsidR="00BF565D">
        <w:rPr>
          <w:rFonts w:ascii="Times New Roman" w:hAnsi="Times New Roman" w:cs="Times New Roman"/>
          <w:noProof/>
          <w:sz w:val="24"/>
          <w:szCs w:val="24"/>
        </w:rPr>
        <w:t>)</w:t>
      </w:r>
      <w:r w:rsidR="00BF565D" w:rsidRPr="00BF565D">
        <w:rPr>
          <w:rFonts w:ascii="Times New Roman" w:hAnsi="Times New Roman" w:cs="Times New Roman"/>
          <w:noProof/>
          <w:sz w:val="24"/>
          <w:szCs w:val="24"/>
        </w:rPr>
        <w:t>; Sativa &amp; Astuti</w:t>
      </w:r>
      <w:r w:rsidR="00BF565D">
        <w:rPr>
          <w:rFonts w:ascii="Times New Roman" w:hAnsi="Times New Roman" w:cs="Times New Roman"/>
          <w:noProof/>
          <w:sz w:val="24"/>
          <w:szCs w:val="24"/>
        </w:rPr>
        <w:t xml:space="preserve"> (</w:t>
      </w:r>
      <w:r w:rsidR="00BF565D" w:rsidRPr="00BF565D">
        <w:rPr>
          <w:rFonts w:ascii="Times New Roman" w:hAnsi="Times New Roman" w:cs="Times New Roman"/>
          <w:noProof/>
          <w:sz w:val="24"/>
          <w:szCs w:val="24"/>
        </w:rPr>
        <w:t>2016</w:t>
      </w:r>
      <w:r w:rsidR="00BF565D">
        <w:rPr>
          <w:rFonts w:ascii="Times New Roman" w:hAnsi="Times New Roman" w:cs="Times New Roman"/>
          <w:noProof/>
          <w:sz w:val="24"/>
          <w:szCs w:val="24"/>
        </w:rPr>
        <w:t>)</w:t>
      </w:r>
      <w:r w:rsidR="00BF565D" w:rsidRPr="00BF565D">
        <w:rPr>
          <w:rFonts w:ascii="Times New Roman" w:hAnsi="Times New Roman" w:cs="Times New Roman"/>
          <w:noProof/>
          <w:sz w:val="24"/>
          <w:szCs w:val="24"/>
        </w:rPr>
        <w:t xml:space="preserve">; Setyaningsih </w:t>
      </w:r>
      <w:r w:rsidR="00BF565D">
        <w:rPr>
          <w:rFonts w:ascii="Times New Roman" w:hAnsi="Times New Roman" w:cs="Times New Roman"/>
          <w:noProof/>
          <w:sz w:val="24"/>
          <w:szCs w:val="24"/>
        </w:rPr>
        <w:t>(</w:t>
      </w:r>
      <w:r w:rsidR="00BF565D" w:rsidRPr="00BF565D">
        <w:rPr>
          <w:rFonts w:ascii="Times New Roman" w:hAnsi="Times New Roman" w:cs="Times New Roman"/>
          <w:noProof/>
          <w:sz w:val="24"/>
          <w:szCs w:val="24"/>
        </w:rPr>
        <w:t>2014)</w:t>
      </w:r>
      <w:r w:rsidR="00BF565D">
        <w:rPr>
          <w:rFonts w:ascii="Times New Roman" w:hAnsi="Times New Roman" w:cs="Times New Roman"/>
          <w:sz w:val="24"/>
          <w:szCs w:val="24"/>
        </w:rPr>
        <w:fldChar w:fldCharType="end"/>
      </w:r>
      <w:r w:rsidRPr="00275301">
        <w:rPr>
          <w:rFonts w:ascii="Times New Roman" w:hAnsi="Times New Roman" w:cs="Times New Roman"/>
          <w:sz w:val="24"/>
          <w:szCs w:val="24"/>
        </w:rPr>
        <w:t>. However, the presence of trust in increasing satisfaction has a low effect at the structural level</w:t>
      </w:r>
      <w:r w:rsidR="00C269A7">
        <w:rPr>
          <w:rFonts w:ascii="Times New Roman" w:hAnsi="Times New Roman" w:cs="Times New Roman"/>
          <w:sz w:val="24"/>
          <w:szCs w:val="24"/>
        </w:rPr>
        <w:t>,</w:t>
      </w:r>
      <w:r w:rsidRPr="00275301">
        <w:rPr>
          <w:rFonts w:ascii="Times New Roman" w:hAnsi="Times New Roman" w:cs="Times New Roman"/>
          <w:sz w:val="24"/>
          <w:szCs w:val="24"/>
        </w:rPr>
        <w:t xml:space="preserve"> with an f square value of 0.05.</w:t>
      </w:r>
      <w:r w:rsidR="00C269A7">
        <w:rPr>
          <w:rFonts w:ascii="Times New Roman" w:hAnsi="Times New Roman" w:cs="Times New Roman"/>
          <w:sz w:val="24"/>
          <w:szCs w:val="24"/>
        </w:rPr>
        <w:t xml:space="preserve"> </w:t>
      </w:r>
      <w:r w:rsidR="00C269A7" w:rsidRPr="00C269A7">
        <w:rPr>
          <w:rFonts w:ascii="Times New Roman" w:hAnsi="Times New Roman" w:cs="Times New Roman"/>
          <w:sz w:val="24"/>
          <w:szCs w:val="24"/>
        </w:rPr>
        <w:t>Trust is a critical aspect in the relationship between consumers and e-commerce companies, and when a data leak occurs, consumers may feel that the company is unreliable or unable to properly safeguard their privacy</w:t>
      </w:r>
      <w:r w:rsidR="00C269A7">
        <w:rPr>
          <w:rFonts w:ascii="Times New Roman" w:hAnsi="Times New Roman" w:cs="Times New Roman"/>
          <w:sz w:val="24"/>
          <w:szCs w:val="24"/>
        </w:rPr>
        <w:t xml:space="preserve"> </w:t>
      </w:r>
      <w:r w:rsidR="00C269A7">
        <w:rPr>
          <w:rFonts w:ascii="Times New Roman" w:hAnsi="Times New Roman" w:cs="Times New Roman"/>
          <w:sz w:val="24"/>
          <w:szCs w:val="24"/>
        </w:rPr>
        <w:fldChar w:fldCharType="begin" w:fldLock="1"/>
      </w:r>
      <w:r w:rsidR="00C269A7">
        <w:rPr>
          <w:rFonts w:ascii="Times New Roman" w:hAnsi="Times New Roman" w:cs="Times New Roman"/>
          <w:sz w:val="24"/>
          <w:szCs w:val="24"/>
        </w:rPr>
        <w:instrText>ADDIN CSL_CITATION {"citationItems":[{"id":"ITEM-1","itemData":{"DOI":"10.1016/j.dss.2015.12.007","ISSN":"01679236","abstract":"Data breaches through hacking incidents have become a significant phenomenon in the world of online shopping. These breaches can result in loss of personal data belonging to customers. This study builds a research model to examine people's intention to engage in e-commerce in the context of a significant data breach (the Target breach in December 2013). In addition, this paper focuses on the difference in responses regarding post-breach online shopping intent among younger adults (below 55 years) and older adults (senior citizens - A bove 55 years). Our findings show the importance of internal (self) monitoring of bank transactions in reducing the effect of perceptions of severity of data breaches on post-breach online shopping intent particularly for senior citizens. The study also demonstrates that perceptions of severity of a hacking incident are significant drivers of perceived online shopping risk for both age groups. Further, perceptions of severity of a hacking incident are significant drivers of post-breach online shopping intent but only marginally significant for younger adults. Trusting beliefs in online shopping services and attitude toward e-commerce are significant for the older generation for post-breach online shopping intentions and also for younger adults. Gender is significant for seniors while it is not significant for younger adults. The impact of perceived online shopping risk on post-breach online shopping is significantly different between the two age groups. The implication of this research lies in informing shopping websites the need to prepare better plans for notifying customers about not only data breaches but also their proposed mitigation steps so as to increase trust and reduce perceived risks associated with online shopping.","author":[{"dropping-particle":"","family":"Chakraborty","given":"Rajarshi","non-dropping-particle":"","parse-names":false,"suffix":""},{"dropping-particle":"","family":"Lee","given":"Jaeung","non-dropping-particle":"","parse-names":false,"suffix":""},{"dropping-particle":"","family":"Bagchi-Sen","given":"Sharmistha","non-dropping-particle":"","parse-names":false,"suffix":""},{"dropping-particle":"","family":"Upadhyaya","given":"Shambhu","non-dropping-particle":"","parse-names":false,"suffix":""},{"dropping-particle":"","family":"Raghav Rao","given":"H.","non-dropping-particle":"","parse-names":false,"suffix":""}],"container-title":"Decision Support Systems","id":"ITEM-1","issued":{"date-parts":[["2016"]]},"page":"47-56","publisher":"Elsevier B.V.","title":"Online shopping intention in the context of data breach in online retail stores: An examination of older and younger adults","type":"article-journal","volume":"83"},"uris":["http://www.mendeley.com/documents/?uuid=20cf6d19-e03d-465e-88ac-1259a54affd0"]}],"mendeley":{"formattedCitation":"(Chakraborty et al., 2016)","plainTextFormattedCitation":"(Chakraborty et al., 2016)","previouslyFormattedCitation":"(Chakraborty et al., 2016)"},"properties":{"noteIndex":0},"schema":"https://github.com/citation-style-language/schema/raw/master/csl-citation.json"}</w:instrText>
      </w:r>
      <w:r w:rsidR="00C269A7">
        <w:rPr>
          <w:rFonts w:ascii="Times New Roman" w:hAnsi="Times New Roman" w:cs="Times New Roman"/>
          <w:sz w:val="24"/>
          <w:szCs w:val="24"/>
        </w:rPr>
        <w:fldChar w:fldCharType="separate"/>
      </w:r>
      <w:r w:rsidR="00C269A7" w:rsidRPr="00C269A7">
        <w:rPr>
          <w:rFonts w:ascii="Times New Roman" w:hAnsi="Times New Roman" w:cs="Times New Roman"/>
          <w:noProof/>
          <w:sz w:val="24"/>
          <w:szCs w:val="24"/>
        </w:rPr>
        <w:t>(Chakraborty et al., 2016)</w:t>
      </w:r>
      <w:r w:rsidR="00C269A7">
        <w:rPr>
          <w:rFonts w:ascii="Times New Roman" w:hAnsi="Times New Roman" w:cs="Times New Roman"/>
          <w:sz w:val="24"/>
          <w:szCs w:val="24"/>
        </w:rPr>
        <w:fldChar w:fldCharType="end"/>
      </w:r>
      <w:r w:rsidR="00C269A7" w:rsidRPr="00C269A7">
        <w:rPr>
          <w:rFonts w:ascii="Times New Roman" w:hAnsi="Times New Roman" w:cs="Times New Roman"/>
          <w:sz w:val="24"/>
          <w:szCs w:val="24"/>
        </w:rPr>
        <w:t>. Therefore, data leaks may lead to a decrease in consumer trust in e-commerce platforms</w:t>
      </w:r>
      <w:r w:rsidR="00C269A7">
        <w:rPr>
          <w:rFonts w:ascii="Times New Roman" w:hAnsi="Times New Roman" w:cs="Times New Roman"/>
          <w:sz w:val="24"/>
          <w:szCs w:val="24"/>
        </w:rPr>
        <w:t xml:space="preserve"> </w:t>
      </w:r>
      <w:r w:rsidR="00C269A7">
        <w:rPr>
          <w:rFonts w:ascii="Times New Roman" w:hAnsi="Times New Roman" w:cs="Times New Roman"/>
          <w:sz w:val="24"/>
          <w:szCs w:val="24"/>
        </w:rPr>
        <w:fldChar w:fldCharType="begin" w:fldLock="1"/>
      </w:r>
      <w:r w:rsidR="00C269A7">
        <w:rPr>
          <w:rFonts w:ascii="Times New Roman" w:hAnsi="Times New Roman" w:cs="Times New Roman"/>
          <w:sz w:val="24"/>
          <w:szCs w:val="24"/>
        </w:rPr>
        <w:instrText>ADDIN CSL_CITATION {"citationItems":[{"id":"ITEM-1","itemData":{"DOI":"10.2991/assehr.k.220404.096","abstract":"Tokopedia as a marketplace company experienced a leak of user's personal data due to burglary by a third party in 2020. In this regard, the Indonesian Consumer Community demands legal accountability against the Ministry of Communication and Information of the Republic of Indonesia related to the guarantee of Electronic System organizers on each component and the integration of all Electronic Systems operate properly, including Hardware, Software, experts, governance, and security for the personal data leakage event, including on Tokopedia. The problem is how is the legal responsibility of marketplace companies for user data leaks caused by burglary by third parties in the case of Tokopedia data leakage and how their accountability is viewed from the Consumer Protection Act. The method used is normative legal research. Tokopedia can be categorized as a business actor and its users are categorized as consumers. The position of the two in consumer protection law will have a different impact on the legal liability of Tokopedia in cases of data leaks that occur, so that liability issues arise. failure to protect the confidentiality of personal data to its users and improve the security system of the platform. Meanwhile, Tokopedia's legal liability under the Consumer Protection Law will be even wider, which includes civil and criminal legal liability.","author":[{"dropping-particle":"","family":"Perkasa","given":"Julius","non-dropping-particle":"","parse-names":false,"suffix":""},{"dropping-particle":"","family":"Saly","given":"Jeane Neltje","non-dropping-particle":"","parse-names":false,"suffix":""}],"container-title":"Proceedings of the 3rd Tarumanagara International Conference on the Applications of Social Sciences and Humanities (TICASH 2021)","id":"ITEM-1","issue":"8","issued":{"date-parts":[["2022"]]},"page":"606-614","title":"Legal Liability of Marketplace Companies Against Leaking of User Data Due to Third Party Breaking According to Law Number 8 of 1999 Concerning Consumer Protection (Case Example: Tokopedia User Data Leaking in 2020)","type":"article-journal","volume":"655"},"uris":["http://www.mendeley.com/documents/?uuid=3429c70b-4f5c-4424-a3f9-029039b485f0"]}],"mendeley":{"formattedCitation":"(Perkasa &amp; Saly, 2022)","plainTextFormattedCitation":"(Perkasa &amp; Saly, 2022)","previouslyFormattedCitation":"(Perkasa &amp; Saly, 2022)"},"properties":{"noteIndex":0},"schema":"https://github.com/citation-style-language/schema/raw/master/csl-citation.json"}</w:instrText>
      </w:r>
      <w:r w:rsidR="00C269A7">
        <w:rPr>
          <w:rFonts w:ascii="Times New Roman" w:hAnsi="Times New Roman" w:cs="Times New Roman"/>
          <w:sz w:val="24"/>
          <w:szCs w:val="24"/>
        </w:rPr>
        <w:fldChar w:fldCharType="separate"/>
      </w:r>
      <w:r w:rsidR="00C269A7" w:rsidRPr="00C269A7">
        <w:rPr>
          <w:rFonts w:ascii="Times New Roman" w:hAnsi="Times New Roman" w:cs="Times New Roman"/>
          <w:noProof/>
          <w:sz w:val="24"/>
          <w:szCs w:val="24"/>
        </w:rPr>
        <w:t>(Perkasa &amp; Saly, 2022)</w:t>
      </w:r>
      <w:r w:rsidR="00C269A7">
        <w:rPr>
          <w:rFonts w:ascii="Times New Roman" w:hAnsi="Times New Roman" w:cs="Times New Roman"/>
          <w:sz w:val="24"/>
          <w:szCs w:val="24"/>
        </w:rPr>
        <w:fldChar w:fldCharType="end"/>
      </w:r>
      <w:r w:rsidR="00C269A7" w:rsidRPr="00C269A7">
        <w:rPr>
          <w:rFonts w:ascii="Times New Roman" w:hAnsi="Times New Roman" w:cs="Times New Roman"/>
          <w:sz w:val="24"/>
          <w:szCs w:val="24"/>
        </w:rPr>
        <w:t>.</w:t>
      </w:r>
    </w:p>
    <w:p w14:paraId="54209C34" w14:textId="77777777" w:rsidR="00275301" w:rsidRPr="00275301" w:rsidRDefault="00275301" w:rsidP="00275301">
      <w:pPr>
        <w:spacing w:after="0"/>
        <w:jc w:val="both"/>
        <w:rPr>
          <w:rFonts w:ascii="Times New Roman" w:hAnsi="Times New Roman" w:cs="Times New Roman"/>
          <w:sz w:val="24"/>
          <w:szCs w:val="24"/>
        </w:rPr>
      </w:pPr>
    </w:p>
    <w:p w14:paraId="48386780" w14:textId="6514FCD3" w:rsidR="00275301" w:rsidRPr="00275301" w:rsidRDefault="00B03934" w:rsidP="00275301">
      <w:pPr>
        <w:jc w:val="both"/>
        <w:rPr>
          <w:rFonts w:ascii="Times New Roman" w:hAnsi="Times New Roman" w:cs="Times New Roman"/>
          <w:sz w:val="24"/>
          <w:szCs w:val="24"/>
        </w:rPr>
      </w:pPr>
      <w:r>
        <w:rPr>
          <w:rFonts w:ascii="Times New Roman" w:hAnsi="Times New Roman" w:cs="Times New Roman"/>
          <w:sz w:val="24"/>
          <w:szCs w:val="24"/>
        </w:rPr>
        <w:t>F</w:t>
      </w:r>
      <w:r w:rsidR="00275301" w:rsidRPr="00275301">
        <w:rPr>
          <w:rFonts w:ascii="Times New Roman" w:hAnsi="Times New Roman" w:cs="Times New Roman"/>
          <w:sz w:val="24"/>
          <w:szCs w:val="24"/>
        </w:rPr>
        <w:t xml:space="preserve">ollowing </w:t>
      </w:r>
      <w:r>
        <w:rPr>
          <w:rFonts w:ascii="Times New Roman" w:hAnsi="Times New Roman" w:cs="Times New Roman"/>
          <w:sz w:val="24"/>
          <w:szCs w:val="24"/>
        </w:rPr>
        <w:t xml:space="preserve">the </w:t>
      </w:r>
      <w:r w:rsidR="00275301" w:rsidRPr="00275301">
        <w:rPr>
          <w:rFonts w:ascii="Times New Roman" w:hAnsi="Times New Roman" w:cs="Times New Roman"/>
          <w:sz w:val="24"/>
          <w:szCs w:val="24"/>
        </w:rPr>
        <w:t>present</w:t>
      </w:r>
      <w:r>
        <w:rPr>
          <w:rFonts w:ascii="Times New Roman" w:hAnsi="Times New Roman" w:cs="Times New Roman"/>
          <w:sz w:val="24"/>
          <w:szCs w:val="24"/>
        </w:rPr>
        <w:t>,</w:t>
      </w:r>
      <w:r w:rsidR="00275301" w:rsidRPr="00275301">
        <w:rPr>
          <w:rFonts w:ascii="Times New Roman" w:hAnsi="Times New Roman" w:cs="Times New Roman"/>
          <w:sz w:val="24"/>
          <w:szCs w:val="24"/>
        </w:rPr>
        <w:t xml:space="preserve"> Figure 2 </w:t>
      </w:r>
      <w:r>
        <w:rPr>
          <w:rFonts w:ascii="Times New Roman" w:hAnsi="Times New Roman" w:cs="Times New Roman"/>
          <w:sz w:val="24"/>
          <w:szCs w:val="24"/>
        </w:rPr>
        <w:t>shows</w:t>
      </w:r>
      <w:r w:rsidR="00275301" w:rsidRPr="00275301">
        <w:rPr>
          <w:rFonts w:ascii="Times New Roman" w:hAnsi="Times New Roman" w:cs="Times New Roman"/>
          <w:sz w:val="24"/>
          <w:szCs w:val="24"/>
        </w:rPr>
        <w:t xml:space="preserve"> the path coefficient diagram of each indicator and construct of this study</w:t>
      </w:r>
    </w:p>
    <w:p w14:paraId="69389375" w14:textId="2AA82B05" w:rsidR="006938C5" w:rsidRDefault="006938C5" w:rsidP="00B03934">
      <w:pPr>
        <w:jc w:val="center"/>
      </w:pPr>
      <w:r>
        <w:rPr>
          <w:noProof/>
        </w:rPr>
        <w:lastRenderedPageBreak/>
        <w:drawing>
          <wp:inline distT="0" distB="0" distL="0" distR="0" wp14:anchorId="79A33DF0" wp14:editId="387CA4FE">
            <wp:extent cx="5685564" cy="288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94957" cy="2887663"/>
                    </a:xfrm>
                    <a:prstGeom prst="rect">
                      <a:avLst/>
                    </a:prstGeom>
                  </pic:spPr>
                </pic:pic>
              </a:graphicData>
            </a:graphic>
          </wp:inline>
        </w:drawing>
      </w:r>
    </w:p>
    <w:p w14:paraId="73803976" w14:textId="1FA2AE58" w:rsidR="00275301" w:rsidRDefault="00275301" w:rsidP="0027530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2. </w:t>
      </w:r>
      <w:r w:rsidRPr="00275301">
        <w:rPr>
          <w:rFonts w:ascii="Times New Roman" w:hAnsi="Times New Roman" w:cs="Times New Roman"/>
          <w:sz w:val="20"/>
          <w:szCs w:val="20"/>
        </w:rPr>
        <w:t xml:space="preserve">Diagram. Path Coefficient </w:t>
      </w:r>
      <w:r>
        <w:rPr>
          <w:rFonts w:ascii="Times New Roman" w:hAnsi="Times New Roman" w:cs="Times New Roman"/>
          <w:sz w:val="20"/>
          <w:szCs w:val="20"/>
        </w:rPr>
        <w:t>and</w:t>
      </w:r>
      <w:r w:rsidRPr="00275301">
        <w:rPr>
          <w:rFonts w:ascii="Times New Roman" w:hAnsi="Times New Roman" w:cs="Times New Roman"/>
          <w:sz w:val="20"/>
          <w:szCs w:val="20"/>
        </w:rPr>
        <w:t xml:space="preserve"> P-value</w:t>
      </w:r>
    </w:p>
    <w:p w14:paraId="3F0737B7" w14:textId="77777777" w:rsidR="00E176C8" w:rsidRPr="00275301" w:rsidRDefault="00E176C8" w:rsidP="00275301">
      <w:pPr>
        <w:spacing w:line="240" w:lineRule="auto"/>
        <w:jc w:val="center"/>
        <w:rPr>
          <w:rFonts w:ascii="Times New Roman" w:hAnsi="Times New Roman" w:cs="Times New Roman"/>
          <w:sz w:val="20"/>
          <w:szCs w:val="20"/>
        </w:rPr>
      </w:pPr>
    </w:p>
    <w:p w14:paraId="491A243D" w14:textId="20B7A5D3" w:rsidR="00B03934" w:rsidRPr="005866C7" w:rsidRDefault="00B03934" w:rsidP="006C2BE7">
      <w:pPr>
        <w:pStyle w:val="Heading2"/>
        <w:spacing w:after="0"/>
      </w:pPr>
      <w:r w:rsidRPr="00B03934">
        <w:t>Evaluation of Goodness and Fit of the Model</w:t>
      </w:r>
    </w:p>
    <w:p w14:paraId="274B1C3F" w14:textId="2DB4BF05" w:rsidR="006C2BE7" w:rsidRDefault="006C2BE7" w:rsidP="006C2BE7">
      <w:pPr>
        <w:spacing w:after="0" w:line="240" w:lineRule="auto"/>
        <w:ind w:firstLine="284"/>
        <w:jc w:val="both"/>
        <w:rPr>
          <w:rFonts w:ascii="Times New Roman" w:hAnsi="Times New Roman" w:cs="Times New Roman"/>
          <w:sz w:val="24"/>
          <w:szCs w:val="24"/>
        </w:rPr>
      </w:pPr>
      <w:r w:rsidRPr="006C2BE7">
        <w:rPr>
          <w:rFonts w:ascii="Times New Roman" w:hAnsi="Times New Roman" w:cs="Times New Roman"/>
          <w:sz w:val="24"/>
          <w:szCs w:val="24"/>
        </w:rPr>
        <w:t>PLS is a variance-based SEM analysis with the aim of testing model theory that focuses on prediction studies. Therefore, several measures were developed to declare the proposed model acceptable such as R square, Q square and SRMR Hair et al (2019).</w:t>
      </w:r>
      <w:r>
        <w:rPr>
          <w:rFonts w:ascii="Times New Roman" w:hAnsi="Times New Roman" w:cs="Times New Roman"/>
          <w:sz w:val="24"/>
          <w:szCs w:val="24"/>
        </w:rPr>
        <w:t xml:space="preserve"> </w:t>
      </w:r>
      <w:r w:rsidR="00B03934" w:rsidRPr="00B03934">
        <w:rPr>
          <w:rFonts w:ascii="Times New Roman" w:hAnsi="Times New Roman" w:cs="Times New Roman"/>
          <w:sz w:val="24"/>
          <w:szCs w:val="24"/>
        </w:rPr>
        <w:t>The R square statistical measure illustrates the variation in endogenous variables that can be explained by other exogenous</w:t>
      </w:r>
      <w:r>
        <w:rPr>
          <w:rFonts w:ascii="Times New Roman" w:hAnsi="Times New Roman" w:cs="Times New Roman"/>
          <w:sz w:val="24"/>
          <w:szCs w:val="24"/>
        </w:rPr>
        <w:t>/</w:t>
      </w:r>
      <w:r w:rsidR="00B03934" w:rsidRPr="00B03934">
        <w:rPr>
          <w:rFonts w:ascii="Times New Roman" w:hAnsi="Times New Roman" w:cs="Times New Roman"/>
          <w:sz w:val="24"/>
          <w:szCs w:val="24"/>
        </w:rPr>
        <w:t>endogenous variables in the model. According to</w:t>
      </w:r>
      <w:r w:rsidR="00B03934" w:rsidRPr="00B03934">
        <w:rPr>
          <w:rFonts w:ascii="Times New Roman" w:hAnsi="Times New Roman" w:cs="Times New Roman"/>
          <w:sz w:val="24"/>
          <w:szCs w:val="24"/>
        </w:rPr>
        <w:t xml:space="preserve"> </w:t>
      </w:r>
      <w:r w:rsidR="00B03934" w:rsidRPr="00B0393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{"citationItems":[{"id":"ITEM-1","itemData":{"ISBN":"0-8058-2677-7 (Hardcover); 0-8058-3093-6 (Paperback)","abstract":"Provides a nontechnical introduction to the partial least squares (PLS) approach. As a logical base for comparison, the PLS approach for structural path estimation is contrasted to the covariance-based approach. In so doing, a set of considerations are then provided with the goal of helping the reader understand the conditions under which it might be reasonable or even more appropriate to employ this technique. This chapter builds up from various simple 2 latent variable models to a more complex one. The formal PLS model is provided along with a discussion of the properties of its estimates. An empirical example is provided as a basis for highlighting the various analytic considerations when using PLS and the set of tests that one can employ is assessing the validity of a PLS-based model. (PsycINFO Database Record (c) 2016 APA, all rights reserved)","author":[{"dropping-particle":"","family":"Chin","given":"Wynne W","non-dropping-particle":"","parse-names":false,"suffix":""}],"collection-title":"Methodology for business and management.","container-title":"Modern methods for business research.","id":"ITEM-1","issued":{"date-parts":[["1998"]]},"page":"295-336","publisher":"Lawrence Erlbaum Associates Publishers","publisher-place":"Mahwah,  NJ,  US","title":"The partial least squares approach for structural equation modeling.","type":"chapter"},"uris":["http://www.mendeley.com/documents/?uuid=30c26bec-c411-468d-be22-a7d3e2f80c89"]}],"mendeley":{"formattedCitation":"(Chin, 1998)","manualFormatting":"Chin (1998)","plainTextFormattedCitation":"(Chin, 1998)","previouslyFormattedCitation":"(Chin, 1998)"},"properties":{"noteIndex":0},"schema":"https://github.com/citation-style-language/schema/raw/master/csl-citation.json"}</w:instrText>
      </w:r>
      <w:r w:rsidR="00B03934" w:rsidRPr="00B03934">
        <w:rPr>
          <w:rFonts w:ascii="Times New Roman" w:hAnsi="Times New Roman" w:cs="Times New Roman"/>
          <w:sz w:val="24"/>
          <w:szCs w:val="24"/>
        </w:rPr>
        <w:fldChar w:fldCharType="separate"/>
      </w:r>
      <w:r w:rsidR="00B03934" w:rsidRPr="00B03934">
        <w:rPr>
          <w:rFonts w:ascii="Times New Roman" w:hAnsi="Times New Roman" w:cs="Times New Roman"/>
          <w:noProof/>
          <w:sz w:val="24"/>
          <w:szCs w:val="24"/>
        </w:rPr>
        <w:t>Chin (1998)</w:t>
      </w:r>
      <w:r w:rsidR="00B03934" w:rsidRPr="00B03934">
        <w:rPr>
          <w:rFonts w:ascii="Times New Roman" w:hAnsi="Times New Roman" w:cs="Times New Roman"/>
          <w:sz w:val="24"/>
          <w:szCs w:val="24"/>
        </w:rPr>
        <w:fldChar w:fldCharType="end"/>
      </w:r>
      <w:r>
        <w:rPr>
          <w:rFonts w:ascii="Times New Roman" w:hAnsi="Times New Roman" w:cs="Times New Roman"/>
          <w:sz w:val="24"/>
          <w:szCs w:val="24"/>
        </w:rPr>
        <w:t>,</w:t>
      </w:r>
      <w:r w:rsidR="00B03934" w:rsidRPr="00B03934">
        <w:rPr>
          <w:rFonts w:ascii="Times New Roman" w:hAnsi="Times New Roman" w:cs="Times New Roman"/>
          <w:sz w:val="24"/>
          <w:szCs w:val="24"/>
        </w:rPr>
        <w:t xml:space="preserve"> the qualitative interpretation value of R square is 0.19 (low influence), 0.33 (moderate influence), and 0.66 (high influence). </w:t>
      </w:r>
      <w:r w:rsidRPr="006C2BE7">
        <w:rPr>
          <w:rFonts w:ascii="Times New Roman" w:hAnsi="Times New Roman" w:cs="Times New Roman"/>
          <w:sz w:val="24"/>
          <w:szCs w:val="24"/>
        </w:rPr>
        <w:t>Based on the processing results above, it can be said that the magnitude of the influence of perceived usefulness, satisfaction and trust has a high i</w:t>
      </w:r>
      <w:r>
        <w:rPr>
          <w:rFonts w:ascii="Times New Roman" w:hAnsi="Times New Roman" w:cs="Times New Roman"/>
          <w:sz w:val="24"/>
          <w:szCs w:val="24"/>
        </w:rPr>
        <w:t>mpact</w:t>
      </w:r>
      <w:r w:rsidRPr="006C2BE7">
        <w:rPr>
          <w:rFonts w:ascii="Times New Roman" w:hAnsi="Times New Roman" w:cs="Times New Roman"/>
          <w:sz w:val="24"/>
          <w:szCs w:val="24"/>
        </w:rPr>
        <w:t xml:space="preserve"> with a value of 53%; 57%; and 80%.</w:t>
      </w:r>
    </w:p>
    <w:p w14:paraId="58A413C4" w14:textId="7E680CCC" w:rsidR="006938C5" w:rsidRDefault="00B03934" w:rsidP="006C2BE7">
      <w:pPr>
        <w:spacing w:after="0" w:line="240" w:lineRule="auto"/>
        <w:ind w:firstLine="284"/>
        <w:jc w:val="both"/>
        <w:rPr>
          <w:rFonts w:ascii="Times New Roman" w:hAnsi="Times New Roman" w:cs="Times New Roman"/>
          <w:sz w:val="24"/>
          <w:szCs w:val="24"/>
        </w:rPr>
      </w:pPr>
      <w:r w:rsidRPr="00B03934">
        <w:rPr>
          <w:rFonts w:ascii="Times New Roman" w:hAnsi="Times New Roman" w:cs="Times New Roman"/>
          <w:sz w:val="24"/>
          <w:szCs w:val="24"/>
        </w:rPr>
        <w:t>Q square describes a measure of predictive accuracy, namely how well each change in exogenous</w:t>
      </w:r>
      <w:r w:rsidRPr="00B03934">
        <w:rPr>
          <w:rFonts w:ascii="Times New Roman" w:hAnsi="Times New Roman" w:cs="Times New Roman"/>
          <w:sz w:val="24"/>
          <w:szCs w:val="24"/>
        </w:rPr>
        <w:t>/</w:t>
      </w:r>
      <w:r w:rsidRPr="00B03934">
        <w:rPr>
          <w:rFonts w:ascii="Times New Roman" w:hAnsi="Times New Roman" w:cs="Times New Roman"/>
          <w:sz w:val="24"/>
          <w:szCs w:val="24"/>
        </w:rPr>
        <w:t xml:space="preserve">endogenous variables </w:t>
      </w:r>
      <w:r w:rsidR="006C2BE7">
        <w:rPr>
          <w:rFonts w:ascii="Times New Roman" w:hAnsi="Times New Roman" w:cs="Times New Roman"/>
          <w:sz w:val="24"/>
          <w:szCs w:val="24"/>
        </w:rPr>
        <w:t>can</w:t>
      </w:r>
      <w:r w:rsidRPr="00B03934">
        <w:rPr>
          <w:rFonts w:ascii="Times New Roman" w:hAnsi="Times New Roman" w:cs="Times New Roman"/>
          <w:sz w:val="24"/>
          <w:szCs w:val="24"/>
        </w:rPr>
        <w:t xml:space="preserve"> predict endogenous variables. This measure is a form of validation in PLS to state the suitability of model predictions (predictive relevance). The q square value above 0 states that the model has predictive relevance, but in</w:t>
      </w:r>
      <w:r w:rsidR="006C2BE7">
        <w:rPr>
          <w:rFonts w:ascii="Times New Roman" w:hAnsi="Times New Roman" w:cs="Times New Roman"/>
          <w:sz w:val="24"/>
          <w:szCs w:val="24"/>
        </w:rPr>
        <w:t xml:space="preserve"> </w:t>
      </w:r>
      <w:r w:rsidR="006C2BE7">
        <w:rPr>
          <w:rFonts w:ascii="Times New Roman" w:hAnsi="Times New Roman" w:cs="Times New Roman"/>
          <w:sz w:val="24"/>
          <w:szCs w:val="24"/>
        </w:rPr>
        <w:fldChar w:fldCharType="begin" w:fldLock="1"/>
      </w:r>
      <w:r w:rsidR="006C2BE7">
        <w:rPr>
          <w:rFonts w:ascii="Times New Roman" w:hAnsi="Times New Roman" w:cs="Times New Roman"/>
          <w:sz w:val="24"/>
          <w:szCs w:val="24"/>
        </w:rPr>
        <w:instrText>ADDIN CSL_CITATION {"citationItems":[{"id":"ITEM-1","itemData":{"DOI":"10.1108/EBR-11-2018-0203","abstract":"Purpose: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Review","id":"ITEM-1","issue":"1","issued":{"date-parts":[["2019"]]},"title":"When to use and how to report the results of PLS-SEM","type":"article","volume":"31"},"uris":["http://www.mendeley.com/documents/?uuid=a36daca2-4fcf-44ab-ae61-6e245155f6ef"]}],"mendeley":{"formattedCitation":"(Hair et al., 2019)","manualFormatting":"Hair et al. (2019)","plainTextFormattedCitation":"(Hair et al., 2019)","previouslyFormattedCitation":"(Hair et al., 2019)"},"properties":{"noteIndex":0},"schema":"https://github.com/citation-style-language/schema/raw/master/csl-citation.json"}</w:instrText>
      </w:r>
      <w:r w:rsidR="006C2BE7">
        <w:rPr>
          <w:rFonts w:ascii="Times New Roman" w:hAnsi="Times New Roman" w:cs="Times New Roman"/>
          <w:sz w:val="24"/>
          <w:szCs w:val="24"/>
        </w:rPr>
        <w:fldChar w:fldCharType="separate"/>
      </w:r>
      <w:r w:rsidR="006C2BE7" w:rsidRPr="006C2BE7">
        <w:rPr>
          <w:rFonts w:ascii="Times New Roman" w:hAnsi="Times New Roman" w:cs="Times New Roman"/>
          <w:noProof/>
          <w:sz w:val="24"/>
          <w:szCs w:val="24"/>
        </w:rPr>
        <w:t xml:space="preserve">Hair et al. </w:t>
      </w:r>
      <w:r w:rsidR="006C2BE7">
        <w:rPr>
          <w:rFonts w:ascii="Times New Roman" w:hAnsi="Times New Roman" w:cs="Times New Roman"/>
          <w:noProof/>
          <w:sz w:val="24"/>
          <w:szCs w:val="24"/>
        </w:rPr>
        <w:t>(</w:t>
      </w:r>
      <w:r w:rsidR="006C2BE7" w:rsidRPr="006C2BE7">
        <w:rPr>
          <w:rFonts w:ascii="Times New Roman" w:hAnsi="Times New Roman" w:cs="Times New Roman"/>
          <w:noProof/>
          <w:sz w:val="24"/>
          <w:szCs w:val="24"/>
        </w:rPr>
        <w:t>2019)</w:t>
      </w:r>
      <w:r w:rsidR="006C2BE7">
        <w:rPr>
          <w:rFonts w:ascii="Times New Roman" w:hAnsi="Times New Roman" w:cs="Times New Roman"/>
          <w:sz w:val="24"/>
          <w:szCs w:val="24"/>
        </w:rPr>
        <w:fldChar w:fldCharType="end"/>
      </w:r>
      <w:r w:rsidRPr="00B03934">
        <w:rPr>
          <w:rFonts w:ascii="Times New Roman" w:hAnsi="Times New Roman" w:cs="Times New Roman"/>
          <w:sz w:val="24"/>
          <w:szCs w:val="24"/>
        </w:rPr>
        <w:t xml:space="preserve"> the qualitative Q square interpretation value is 0 (low influence), 0.25 (moderate influence), and 0.50 (high influence). Based on the processing results above, the Q square value of the perceived usefulness, satisfaction and trust variables is </w:t>
      </w:r>
      <w:r w:rsidR="006C2BE7">
        <w:rPr>
          <w:rFonts w:ascii="Times New Roman" w:hAnsi="Times New Roman" w:cs="Times New Roman"/>
          <w:sz w:val="24"/>
          <w:szCs w:val="24"/>
        </w:rPr>
        <w:t>&gt;</w:t>
      </w:r>
      <w:r w:rsidRPr="00B03934">
        <w:rPr>
          <w:rFonts w:ascii="Times New Roman" w:hAnsi="Times New Roman" w:cs="Times New Roman"/>
          <w:sz w:val="24"/>
          <w:szCs w:val="24"/>
        </w:rPr>
        <w:t xml:space="preserve"> 0.50</w:t>
      </w:r>
      <w:r w:rsidR="006C2BE7">
        <w:rPr>
          <w:rFonts w:ascii="Times New Roman" w:hAnsi="Times New Roman" w:cs="Times New Roman"/>
          <w:sz w:val="24"/>
          <w:szCs w:val="24"/>
        </w:rPr>
        <w:t>,</w:t>
      </w:r>
      <w:r w:rsidRPr="00B03934">
        <w:rPr>
          <w:rFonts w:ascii="Times New Roman" w:hAnsi="Times New Roman" w:cs="Times New Roman"/>
          <w:sz w:val="24"/>
          <w:szCs w:val="24"/>
        </w:rPr>
        <w:t xml:space="preserve"> namely 0.52</w:t>
      </w:r>
      <w:r w:rsidR="006C2BE7">
        <w:rPr>
          <w:rFonts w:ascii="Times New Roman" w:hAnsi="Times New Roman" w:cs="Times New Roman"/>
          <w:sz w:val="24"/>
          <w:szCs w:val="24"/>
        </w:rPr>
        <w:t>,</w:t>
      </w:r>
      <w:r w:rsidRPr="00B03934">
        <w:rPr>
          <w:rFonts w:ascii="Times New Roman" w:hAnsi="Times New Roman" w:cs="Times New Roman"/>
          <w:sz w:val="24"/>
          <w:szCs w:val="24"/>
        </w:rPr>
        <w:t xml:space="preserve"> 0.53, and 0.78 &gt; 0.50.</w:t>
      </w:r>
    </w:p>
    <w:p w14:paraId="44DC3651" w14:textId="77777777" w:rsidR="00B03934" w:rsidRDefault="00B03934" w:rsidP="00B03934">
      <w:pPr>
        <w:spacing w:after="0" w:line="240" w:lineRule="auto"/>
        <w:ind w:firstLine="284"/>
        <w:jc w:val="both"/>
        <w:rPr>
          <w:rFonts w:ascii="Times New Roman" w:hAnsi="Times New Roman" w:cs="Times New Roman"/>
          <w:sz w:val="24"/>
          <w:szCs w:val="24"/>
        </w:rPr>
      </w:pPr>
    </w:p>
    <w:p w14:paraId="76BB4A22" w14:textId="77777777" w:rsidR="006C2BE7" w:rsidRDefault="006C2BE7" w:rsidP="00B03934">
      <w:pPr>
        <w:spacing w:after="0"/>
        <w:jc w:val="both"/>
        <w:rPr>
          <w:rFonts w:ascii="Times New Roman" w:hAnsi="Times New Roman" w:cs="Times New Roman"/>
        </w:rPr>
        <w:sectPr w:rsidR="006C2BE7" w:rsidSect="00F71CA0">
          <w:pgSz w:w="11906" w:h="16838" w:code="9"/>
          <w:pgMar w:top="1418" w:right="1418" w:bottom="1418" w:left="1418" w:header="720" w:footer="720" w:gutter="0"/>
          <w:cols w:space="720"/>
          <w:docGrid w:linePitch="360"/>
        </w:sectPr>
      </w:pPr>
    </w:p>
    <w:p w14:paraId="7C64E431" w14:textId="54B9CB5B" w:rsidR="00B03934" w:rsidRPr="00234FFB" w:rsidRDefault="00B03934" w:rsidP="00B03934">
      <w:pPr>
        <w:spacing w:after="0"/>
        <w:jc w:val="both"/>
        <w:rPr>
          <w:rFonts w:ascii="Times New Roman" w:hAnsi="Times New Roman" w:cs="Times New Roman"/>
        </w:rPr>
      </w:pPr>
      <w:r w:rsidRPr="00234FFB">
        <w:rPr>
          <w:rFonts w:ascii="Times New Roman" w:hAnsi="Times New Roman" w:cs="Times New Roman"/>
        </w:rPr>
        <w:t xml:space="preserve">Table </w:t>
      </w:r>
      <w:r>
        <w:rPr>
          <w:rFonts w:ascii="Times New Roman" w:hAnsi="Times New Roman" w:cs="Times New Roman"/>
        </w:rPr>
        <w:t>6</w:t>
      </w:r>
      <w:r w:rsidRPr="00234FFB">
        <w:rPr>
          <w:rFonts w:ascii="Times New Roman" w:hAnsi="Times New Roman" w:cs="Times New Roman"/>
        </w:rPr>
        <w:t>. R Square</w:t>
      </w:r>
      <w:r>
        <w:rPr>
          <w:rFonts w:ascii="Times New Roman" w:hAnsi="Times New Roman" w:cs="Times New Roman"/>
        </w:rPr>
        <w:t xml:space="preserve"> and Q-square</w:t>
      </w:r>
    </w:p>
    <w:tbl>
      <w:tblPr>
        <w:tblW w:w="4395" w:type="dxa"/>
        <w:tblLook w:val="04A0" w:firstRow="1" w:lastRow="0" w:firstColumn="1" w:lastColumn="0" w:noHBand="0" w:noVBand="1"/>
      </w:tblPr>
      <w:tblGrid>
        <w:gridCol w:w="2127"/>
        <w:gridCol w:w="1167"/>
        <w:gridCol w:w="1101"/>
      </w:tblGrid>
      <w:tr w:rsidR="00B03934" w:rsidRPr="00B03934" w14:paraId="5954496F" w14:textId="77777777" w:rsidTr="006C2BE7">
        <w:trPr>
          <w:trHeight w:val="264"/>
        </w:trPr>
        <w:tc>
          <w:tcPr>
            <w:tcW w:w="2127" w:type="dxa"/>
            <w:tcBorders>
              <w:top w:val="single" w:sz="4" w:space="0" w:color="auto"/>
              <w:bottom w:val="single" w:sz="4" w:space="0" w:color="auto"/>
            </w:tcBorders>
            <w:shd w:val="clear" w:color="auto" w:fill="auto"/>
            <w:noWrap/>
            <w:vAlign w:val="bottom"/>
            <w:hideMark/>
          </w:tcPr>
          <w:p w14:paraId="45931453" w14:textId="77777777" w:rsidR="00B03934" w:rsidRPr="00B03934" w:rsidRDefault="00B03934" w:rsidP="00EF7015">
            <w:pPr>
              <w:spacing w:after="0" w:line="240" w:lineRule="auto"/>
              <w:rPr>
                <w:rFonts w:ascii="Times New Roman" w:eastAsia="Times New Roman" w:hAnsi="Times New Roman" w:cs="Times New Roman"/>
              </w:rPr>
            </w:pPr>
          </w:p>
        </w:tc>
        <w:tc>
          <w:tcPr>
            <w:tcW w:w="1167" w:type="dxa"/>
            <w:tcBorders>
              <w:top w:val="single" w:sz="4" w:space="0" w:color="auto"/>
              <w:bottom w:val="single" w:sz="4" w:space="0" w:color="auto"/>
            </w:tcBorders>
            <w:shd w:val="clear" w:color="auto" w:fill="auto"/>
            <w:noWrap/>
            <w:vAlign w:val="bottom"/>
            <w:hideMark/>
          </w:tcPr>
          <w:p w14:paraId="367F9CFA" w14:textId="77777777" w:rsidR="00B03934" w:rsidRPr="00B03934" w:rsidRDefault="00B03934" w:rsidP="00EF7015">
            <w:pPr>
              <w:spacing w:after="0" w:line="240" w:lineRule="auto"/>
              <w:rPr>
                <w:rFonts w:ascii="Times New Roman" w:eastAsia="Times New Roman" w:hAnsi="Times New Roman" w:cs="Times New Roman"/>
                <w:color w:val="000000"/>
              </w:rPr>
            </w:pPr>
            <w:r w:rsidRPr="00B03934">
              <w:rPr>
                <w:rFonts w:ascii="Times New Roman" w:eastAsia="Times New Roman" w:hAnsi="Times New Roman" w:cs="Times New Roman"/>
                <w:color w:val="000000"/>
              </w:rPr>
              <w:t>R-square</w:t>
            </w:r>
          </w:p>
        </w:tc>
        <w:tc>
          <w:tcPr>
            <w:tcW w:w="1101" w:type="dxa"/>
            <w:tcBorders>
              <w:top w:val="single" w:sz="4" w:space="0" w:color="auto"/>
              <w:bottom w:val="single" w:sz="4" w:space="0" w:color="auto"/>
            </w:tcBorders>
          </w:tcPr>
          <w:p w14:paraId="58B60114" w14:textId="77777777" w:rsidR="00B03934" w:rsidRPr="00B03934" w:rsidRDefault="00B03934" w:rsidP="00EF7015">
            <w:pPr>
              <w:spacing w:after="0" w:line="240" w:lineRule="auto"/>
              <w:rPr>
                <w:rFonts w:ascii="Times New Roman" w:eastAsia="Times New Roman" w:hAnsi="Times New Roman" w:cs="Times New Roman"/>
                <w:color w:val="000000"/>
              </w:rPr>
            </w:pPr>
            <w:r w:rsidRPr="00B03934">
              <w:rPr>
                <w:rFonts w:ascii="Times New Roman" w:eastAsia="Times New Roman" w:hAnsi="Times New Roman" w:cs="Times New Roman"/>
                <w:color w:val="000000"/>
              </w:rPr>
              <w:t>Q-square</w:t>
            </w:r>
          </w:p>
        </w:tc>
      </w:tr>
      <w:tr w:rsidR="00B03934" w:rsidRPr="00B03934" w14:paraId="76D264F0" w14:textId="77777777" w:rsidTr="006C2BE7">
        <w:trPr>
          <w:trHeight w:val="264"/>
        </w:trPr>
        <w:tc>
          <w:tcPr>
            <w:tcW w:w="2127" w:type="dxa"/>
            <w:tcBorders>
              <w:top w:val="single" w:sz="4" w:space="0" w:color="auto"/>
            </w:tcBorders>
            <w:shd w:val="clear" w:color="auto" w:fill="auto"/>
            <w:noWrap/>
            <w:vAlign w:val="bottom"/>
            <w:hideMark/>
          </w:tcPr>
          <w:p w14:paraId="11921A1E" w14:textId="77777777" w:rsidR="00B03934" w:rsidRPr="00B03934" w:rsidRDefault="00B03934" w:rsidP="00EF7015">
            <w:pPr>
              <w:spacing w:after="0" w:line="240" w:lineRule="auto"/>
              <w:rPr>
                <w:rFonts w:ascii="Times New Roman" w:eastAsia="Times New Roman" w:hAnsi="Times New Roman" w:cs="Times New Roman"/>
                <w:color w:val="000000"/>
              </w:rPr>
            </w:pPr>
            <w:r w:rsidRPr="00B03934">
              <w:rPr>
                <w:rFonts w:ascii="Times New Roman" w:eastAsia="Times New Roman" w:hAnsi="Times New Roman" w:cs="Times New Roman"/>
                <w:color w:val="000000"/>
              </w:rPr>
              <w:t>Perceived Usefulness</w:t>
            </w:r>
          </w:p>
        </w:tc>
        <w:tc>
          <w:tcPr>
            <w:tcW w:w="1167" w:type="dxa"/>
            <w:tcBorders>
              <w:top w:val="single" w:sz="4" w:space="0" w:color="auto"/>
            </w:tcBorders>
            <w:shd w:val="clear" w:color="auto" w:fill="auto"/>
            <w:noWrap/>
            <w:vAlign w:val="bottom"/>
            <w:hideMark/>
          </w:tcPr>
          <w:p w14:paraId="2D00AEDE" w14:textId="77777777" w:rsidR="00B03934" w:rsidRPr="00B03934" w:rsidRDefault="00B03934" w:rsidP="00EF7015">
            <w:pPr>
              <w:spacing w:after="0" w:line="240" w:lineRule="auto"/>
              <w:jc w:val="right"/>
              <w:rPr>
                <w:rFonts w:ascii="Times New Roman" w:eastAsia="Times New Roman" w:hAnsi="Times New Roman" w:cs="Times New Roman"/>
                <w:color w:val="000000"/>
              </w:rPr>
            </w:pPr>
            <w:r w:rsidRPr="00B03934">
              <w:rPr>
                <w:rFonts w:ascii="Times New Roman" w:hAnsi="Times New Roman" w:cs="Times New Roman"/>
                <w:color w:val="000000"/>
              </w:rPr>
              <w:t>0.53</w:t>
            </w:r>
          </w:p>
        </w:tc>
        <w:tc>
          <w:tcPr>
            <w:tcW w:w="1101" w:type="dxa"/>
            <w:tcBorders>
              <w:top w:val="single" w:sz="4" w:space="0" w:color="auto"/>
            </w:tcBorders>
            <w:vAlign w:val="bottom"/>
          </w:tcPr>
          <w:p w14:paraId="0E413672" w14:textId="77777777" w:rsidR="00B03934" w:rsidRPr="00B03934" w:rsidRDefault="00B03934" w:rsidP="00EF7015">
            <w:pPr>
              <w:spacing w:after="0" w:line="240" w:lineRule="auto"/>
              <w:jc w:val="right"/>
              <w:rPr>
                <w:rFonts w:ascii="Times New Roman" w:hAnsi="Times New Roman" w:cs="Times New Roman"/>
              </w:rPr>
            </w:pPr>
            <w:r w:rsidRPr="00B03934">
              <w:rPr>
                <w:rFonts w:ascii="Times New Roman" w:hAnsi="Times New Roman" w:cs="Times New Roman"/>
                <w:color w:val="000000"/>
              </w:rPr>
              <w:t>0.52</w:t>
            </w:r>
          </w:p>
        </w:tc>
      </w:tr>
      <w:tr w:rsidR="00B03934" w:rsidRPr="00B03934" w14:paraId="4BAA36C8" w14:textId="77777777" w:rsidTr="006C2BE7">
        <w:trPr>
          <w:trHeight w:val="264"/>
        </w:trPr>
        <w:tc>
          <w:tcPr>
            <w:tcW w:w="2127" w:type="dxa"/>
            <w:shd w:val="clear" w:color="auto" w:fill="auto"/>
            <w:noWrap/>
            <w:vAlign w:val="bottom"/>
            <w:hideMark/>
          </w:tcPr>
          <w:p w14:paraId="00774DDE" w14:textId="77777777" w:rsidR="00B03934" w:rsidRPr="00B03934" w:rsidRDefault="00B03934" w:rsidP="00EF7015">
            <w:pPr>
              <w:spacing w:after="0" w:line="240" w:lineRule="auto"/>
              <w:rPr>
                <w:rFonts w:ascii="Times New Roman" w:eastAsia="Times New Roman" w:hAnsi="Times New Roman" w:cs="Times New Roman"/>
                <w:color w:val="000000"/>
              </w:rPr>
            </w:pPr>
            <w:r w:rsidRPr="00B03934">
              <w:rPr>
                <w:rFonts w:ascii="Times New Roman" w:eastAsia="Times New Roman" w:hAnsi="Times New Roman" w:cs="Times New Roman"/>
                <w:color w:val="000000"/>
              </w:rPr>
              <w:t>Satisfaction</w:t>
            </w:r>
          </w:p>
        </w:tc>
        <w:tc>
          <w:tcPr>
            <w:tcW w:w="1167" w:type="dxa"/>
            <w:shd w:val="clear" w:color="auto" w:fill="auto"/>
            <w:noWrap/>
            <w:vAlign w:val="bottom"/>
            <w:hideMark/>
          </w:tcPr>
          <w:p w14:paraId="7BF2E8BB" w14:textId="77777777" w:rsidR="00B03934" w:rsidRPr="00B03934" w:rsidRDefault="00B03934" w:rsidP="00EF7015">
            <w:pPr>
              <w:spacing w:after="0" w:line="240" w:lineRule="auto"/>
              <w:jc w:val="right"/>
              <w:rPr>
                <w:rFonts w:ascii="Times New Roman" w:eastAsia="Times New Roman" w:hAnsi="Times New Roman" w:cs="Times New Roman"/>
                <w:color w:val="000000"/>
              </w:rPr>
            </w:pPr>
            <w:r w:rsidRPr="00B03934">
              <w:rPr>
                <w:rFonts w:ascii="Times New Roman" w:hAnsi="Times New Roman" w:cs="Times New Roman"/>
                <w:color w:val="000000"/>
              </w:rPr>
              <w:t>0.57</w:t>
            </w:r>
          </w:p>
        </w:tc>
        <w:tc>
          <w:tcPr>
            <w:tcW w:w="1101" w:type="dxa"/>
            <w:vAlign w:val="bottom"/>
          </w:tcPr>
          <w:p w14:paraId="30D738C9" w14:textId="77777777" w:rsidR="00B03934" w:rsidRPr="00B03934" w:rsidRDefault="00B03934" w:rsidP="00EF7015">
            <w:pPr>
              <w:spacing w:after="0" w:line="240" w:lineRule="auto"/>
              <w:jc w:val="right"/>
              <w:rPr>
                <w:rFonts w:ascii="Times New Roman" w:hAnsi="Times New Roman" w:cs="Times New Roman"/>
              </w:rPr>
            </w:pPr>
            <w:r w:rsidRPr="00B03934">
              <w:rPr>
                <w:rFonts w:ascii="Times New Roman" w:hAnsi="Times New Roman" w:cs="Times New Roman"/>
                <w:color w:val="000000"/>
              </w:rPr>
              <w:t>0.53</w:t>
            </w:r>
          </w:p>
        </w:tc>
      </w:tr>
      <w:tr w:rsidR="00B03934" w:rsidRPr="00B03934" w14:paraId="13C411E6" w14:textId="77777777" w:rsidTr="006C2BE7">
        <w:trPr>
          <w:trHeight w:val="264"/>
        </w:trPr>
        <w:tc>
          <w:tcPr>
            <w:tcW w:w="2127" w:type="dxa"/>
            <w:tcBorders>
              <w:bottom w:val="single" w:sz="4" w:space="0" w:color="auto"/>
            </w:tcBorders>
            <w:shd w:val="clear" w:color="auto" w:fill="auto"/>
            <w:noWrap/>
            <w:vAlign w:val="bottom"/>
            <w:hideMark/>
          </w:tcPr>
          <w:p w14:paraId="5C048699" w14:textId="77777777" w:rsidR="00B03934" w:rsidRPr="00B03934" w:rsidRDefault="00B03934" w:rsidP="00EF7015">
            <w:pPr>
              <w:spacing w:after="0" w:line="240" w:lineRule="auto"/>
              <w:rPr>
                <w:rFonts w:ascii="Times New Roman" w:eastAsia="Times New Roman" w:hAnsi="Times New Roman" w:cs="Times New Roman"/>
                <w:color w:val="000000"/>
              </w:rPr>
            </w:pPr>
            <w:r w:rsidRPr="00B03934">
              <w:rPr>
                <w:rFonts w:ascii="Times New Roman" w:eastAsia="Times New Roman" w:hAnsi="Times New Roman" w:cs="Times New Roman"/>
                <w:color w:val="000000"/>
              </w:rPr>
              <w:t>Trust</w:t>
            </w:r>
          </w:p>
        </w:tc>
        <w:tc>
          <w:tcPr>
            <w:tcW w:w="1167" w:type="dxa"/>
            <w:tcBorders>
              <w:bottom w:val="single" w:sz="4" w:space="0" w:color="auto"/>
            </w:tcBorders>
            <w:shd w:val="clear" w:color="auto" w:fill="auto"/>
            <w:noWrap/>
            <w:vAlign w:val="bottom"/>
            <w:hideMark/>
          </w:tcPr>
          <w:p w14:paraId="34AC83A9" w14:textId="77777777" w:rsidR="00B03934" w:rsidRPr="00B03934" w:rsidRDefault="00B03934" w:rsidP="00EF7015">
            <w:pPr>
              <w:spacing w:after="0" w:line="240" w:lineRule="auto"/>
              <w:jc w:val="right"/>
              <w:rPr>
                <w:rFonts w:ascii="Times New Roman" w:eastAsia="Times New Roman" w:hAnsi="Times New Roman" w:cs="Times New Roman"/>
                <w:color w:val="000000"/>
              </w:rPr>
            </w:pPr>
            <w:r w:rsidRPr="00B03934">
              <w:rPr>
                <w:rFonts w:ascii="Times New Roman" w:hAnsi="Times New Roman" w:cs="Times New Roman"/>
                <w:color w:val="000000"/>
              </w:rPr>
              <w:t>0.80</w:t>
            </w:r>
          </w:p>
        </w:tc>
        <w:tc>
          <w:tcPr>
            <w:tcW w:w="1101" w:type="dxa"/>
            <w:tcBorders>
              <w:bottom w:val="single" w:sz="4" w:space="0" w:color="auto"/>
            </w:tcBorders>
            <w:vAlign w:val="bottom"/>
          </w:tcPr>
          <w:p w14:paraId="5943A955" w14:textId="77777777" w:rsidR="00B03934" w:rsidRPr="00B03934" w:rsidRDefault="00B03934" w:rsidP="00EF7015">
            <w:pPr>
              <w:spacing w:after="0" w:line="240" w:lineRule="auto"/>
              <w:jc w:val="right"/>
              <w:rPr>
                <w:rFonts w:ascii="Times New Roman" w:hAnsi="Times New Roman" w:cs="Times New Roman"/>
              </w:rPr>
            </w:pPr>
            <w:r w:rsidRPr="00B03934">
              <w:rPr>
                <w:rFonts w:ascii="Times New Roman" w:hAnsi="Times New Roman" w:cs="Times New Roman"/>
                <w:color w:val="000000"/>
              </w:rPr>
              <w:t>0.78</w:t>
            </w:r>
          </w:p>
        </w:tc>
      </w:tr>
    </w:tbl>
    <w:p w14:paraId="5643A6DA" w14:textId="75734A41" w:rsidR="00B03934" w:rsidRDefault="00B03934" w:rsidP="00B03934">
      <w:pPr>
        <w:spacing w:after="0" w:line="360" w:lineRule="auto"/>
        <w:jc w:val="both"/>
        <w:rPr>
          <w:rFonts w:ascii="Times New Roman" w:hAnsi="Times New Roman" w:cs="Times New Roman"/>
          <w:sz w:val="24"/>
          <w:szCs w:val="24"/>
        </w:rPr>
      </w:pPr>
    </w:p>
    <w:p w14:paraId="62F48E0E" w14:textId="444E4EF6" w:rsidR="006C2BE7" w:rsidRPr="006C2BE7" w:rsidRDefault="006C2BE7" w:rsidP="00B03934">
      <w:pPr>
        <w:spacing w:after="0" w:line="360" w:lineRule="auto"/>
        <w:jc w:val="both"/>
        <w:rPr>
          <w:rFonts w:ascii="Times New Roman" w:hAnsi="Times New Roman" w:cs="Times New Roman"/>
        </w:rPr>
      </w:pPr>
      <w:r w:rsidRPr="006C2BE7">
        <w:rPr>
          <w:rFonts w:ascii="Times New Roman" w:hAnsi="Times New Roman" w:cs="Times New Roman"/>
        </w:rPr>
        <w:t>Tabel 7. SRMR</w:t>
      </w:r>
    </w:p>
    <w:tbl>
      <w:tblPr>
        <w:tblW w:w="1911" w:type="dxa"/>
        <w:tblLook w:val="04A0" w:firstRow="1" w:lastRow="0" w:firstColumn="1" w:lastColumn="0" w:noHBand="0" w:noVBand="1"/>
      </w:tblPr>
      <w:tblGrid>
        <w:gridCol w:w="828"/>
        <w:gridCol w:w="1106"/>
      </w:tblGrid>
      <w:tr w:rsidR="006C2BE7" w:rsidRPr="006C2BE7" w14:paraId="66650010" w14:textId="77777777" w:rsidTr="006C2BE7">
        <w:trPr>
          <w:trHeight w:val="264"/>
        </w:trPr>
        <w:tc>
          <w:tcPr>
            <w:tcW w:w="805" w:type="dxa"/>
            <w:tcBorders>
              <w:top w:val="single" w:sz="4" w:space="0" w:color="auto"/>
              <w:left w:val="nil"/>
              <w:bottom w:val="single" w:sz="4" w:space="0" w:color="auto"/>
              <w:right w:val="nil"/>
            </w:tcBorders>
            <w:shd w:val="clear" w:color="auto" w:fill="auto"/>
            <w:noWrap/>
            <w:vAlign w:val="bottom"/>
            <w:hideMark/>
          </w:tcPr>
          <w:p w14:paraId="6638FD83" w14:textId="77777777" w:rsidR="006C2BE7" w:rsidRPr="006C2BE7" w:rsidRDefault="006C2BE7" w:rsidP="006C2BE7">
            <w:pPr>
              <w:spacing w:after="0" w:line="240" w:lineRule="auto"/>
              <w:rPr>
                <w:rFonts w:ascii="Times New Roman" w:eastAsia="Times New Roman" w:hAnsi="Times New Roman" w:cs="Times New Roman"/>
              </w:rPr>
            </w:pPr>
          </w:p>
        </w:tc>
        <w:tc>
          <w:tcPr>
            <w:tcW w:w="1106" w:type="dxa"/>
            <w:tcBorders>
              <w:top w:val="single" w:sz="4" w:space="0" w:color="auto"/>
              <w:left w:val="nil"/>
              <w:bottom w:val="single" w:sz="4" w:space="0" w:color="auto"/>
              <w:right w:val="nil"/>
            </w:tcBorders>
            <w:shd w:val="clear" w:color="auto" w:fill="auto"/>
            <w:noWrap/>
            <w:vAlign w:val="bottom"/>
            <w:hideMark/>
          </w:tcPr>
          <w:p w14:paraId="33628A6B" w14:textId="5D287DE9" w:rsidR="006C2BE7" w:rsidRPr="006C2BE7" w:rsidRDefault="006C2BE7" w:rsidP="006C2BE7">
            <w:pPr>
              <w:spacing w:after="0" w:line="240" w:lineRule="auto"/>
              <w:jc w:val="center"/>
              <w:rPr>
                <w:rFonts w:ascii="Times New Roman" w:eastAsia="Times New Roman" w:hAnsi="Times New Roman" w:cs="Times New Roman"/>
                <w:color w:val="000000"/>
              </w:rPr>
            </w:pPr>
            <w:r w:rsidRPr="006C2BE7">
              <w:rPr>
                <w:rFonts w:ascii="Times New Roman" w:eastAsia="Times New Roman" w:hAnsi="Times New Roman" w:cs="Times New Roman"/>
                <w:color w:val="000000"/>
              </w:rPr>
              <w:t>E</w:t>
            </w:r>
            <w:r w:rsidRPr="006C2BE7">
              <w:rPr>
                <w:rFonts w:ascii="Times New Roman" w:eastAsia="Times New Roman" w:hAnsi="Times New Roman" w:cs="Times New Roman"/>
                <w:color w:val="000000"/>
              </w:rPr>
              <w:t>stimated</w:t>
            </w:r>
            <w:r w:rsidRPr="006C2BE7">
              <w:rPr>
                <w:rFonts w:ascii="Times New Roman" w:eastAsia="Times New Roman" w:hAnsi="Times New Roman" w:cs="Times New Roman"/>
                <w:color w:val="000000"/>
              </w:rPr>
              <w:t xml:space="preserve"> model</w:t>
            </w:r>
          </w:p>
        </w:tc>
      </w:tr>
      <w:tr w:rsidR="006C2BE7" w:rsidRPr="006C2BE7" w14:paraId="5F5B1695" w14:textId="77777777" w:rsidTr="006C2BE7">
        <w:trPr>
          <w:trHeight w:val="264"/>
        </w:trPr>
        <w:tc>
          <w:tcPr>
            <w:tcW w:w="805" w:type="dxa"/>
            <w:tcBorders>
              <w:top w:val="single" w:sz="4" w:space="0" w:color="auto"/>
              <w:left w:val="nil"/>
              <w:bottom w:val="single" w:sz="4" w:space="0" w:color="auto"/>
              <w:right w:val="nil"/>
            </w:tcBorders>
            <w:shd w:val="clear" w:color="auto" w:fill="auto"/>
            <w:noWrap/>
            <w:vAlign w:val="bottom"/>
            <w:hideMark/>
          </w:tcPr>
          <w:p w14:paraId="4BC053CF" w14:textId="77777777" w:rsidR="006C2BE7" w:rsidRPr="006C2BE7" w:rsidRDefault="006C2BE7" w:rsidP="006C2BE7">
            <w:pPr>
              <w:spacing w:after="0" w:line="240" w:lineRule="auto"/>
              <w:rPr>
                <w:rFonts w:ascii="Times New Roman" w:eastAsia="Times New Roman" w:hAnsi="Times New Roman" w:cs="Times New Roman"/>
                <w:color w:val="000000"/>
              </w:rPr>
            </w:pPr>
            <w:r w:rsidRPr="006C2BE7">
              <w:rPr>
                <w:rFonts w:ascii="Times New Roman" w:eastAsia="Times New Roman" w:hAnsi="Times New Roman" w:cs="Times New Roman"/>
                <w:color w:val="000000"/>
              </w:rPr>
              <w:t>SRMR</w:t>
            </w:r>
          </w:p>
        </w:tc>
        <w:tc>
          <w:tcPr>
            <w:tcW w:w="1106" w:type="dxa"/>
            <w:tcBorders>
              <w:top w:val="single" w:sz="4" w:space="0" w:color="auto"/>
              <w:left w:val="nil"/>
              <w:bottom w:val="single" w:sz="4" w:space="0" w:color="auto"/>
              <w:right w:val="nil"/>
            </w:tcBorders>
            <w:shd w:val="clear" w:color="auto" w:fill="auto"/>
            <w:noWrap/>
            <w:vAlign w:val="bottom"/>
            <w:hideMark/>
          </w:tcPr>
          <w:p w14:paraId="2C5BF88D" w14:textId="77777777" w:rsidR="006C2BE7" w:rsidRPr="006C2BE7" w:rsidRDefault="006C2BE7" w:rsidP="006C2BE7">
            <w:pPr>
              <w:spacing w:after="0" w:line="240" w:lineRule="auto"/>
              <w:jc w:val="center"/>
              <w:rPr>
                <w:rFonts w:ascii="Times New Roman" w:eastAsia="Times New Roman" w:hAnsi="Times New Roman" w:cs="Times New Roman"/>
                <w:color w:val="000000"/>
              </w:rPr>
            </w:pPr>
            <w:r w:rsidRPr="006C2BE7">
              <w:rPr>
                <w:rFonts w:ascii="Times New Roman" w:eastAsia="Times New Roman" w:hAnsi="Times New Roman" w:cs="Times New Roman"/>
                <w:color w:val="000000"/>
              </w:rPr>
              <w:t>0.1</w:t>
            </w:r>
          </w:p>
        </w:tc>
      </w:tr>
    </w:tbl>
    <w:p w14:paraId="50EBF9AF" w14:textId="77777777" w:rsidR="006C2BE7" w:rsidRDefault="006C2BE7" w:rsidP="006C2BE7">
      <w:pPr>
        <w:spacing w:after="0" w:line="240" w:lineRule="auto"/>
        <w:ind w:firstLine="284"/>
        <w:jc w:val="both"/>
        <w:rPr>
          <w:rFonts w:ascii="Times New Roman" w:hAnsi="Times New Roman" w:cs="Times New Roman"/>
          <w:sz w:val="24"/>
          <w:szCs w:val="24"/>
        </w:rPr>
        <w:sectPr w:rsidR="006C2BE7" w:rsidSect="006C2BE7">
          <w:type w:val="continuous"/>
          <w:pgSz w:w="11906" w:h="16838" w:code="9"/>
          <w:pgMar w:top="1418" w:right="1418" w:bottom="1418" w:left="1418" w:header="720" w:footer="720" w:gutter="0"/>
          <w:cols w:num="2" w:space="720"/>
          <w:docGrid w:linePitch="360"/>
        </w:sectPr>
      </w:pPr>
    </w:p>
    <w:p w14:paraId="7ED88D83" w14:textId="0F23F4DB" w:rsidR="006C2BE7" w:rsidRDefault="006C2BE7" w:rsidP="006C2BE7">
      <w:pPr>
        <w:spacing w:after="0" w:line="240" w:lineRule="auto"/>
        <w:ind w:firstLine="284"/>
        <w:jc w:val="both"/>
        <w:rPr>
          <w:rFonts w:ascii="Times New Roman" w:hAnsi="Times New Roman" w:cs="Times New Roman"/>
          <w:sz w:val="24"/>
          <w:szCs w:val="24"/>
        </w:rPr>
      </w:pPr>
      <w:r w:rsidRPr="006C2BE7">
        <w:rPr>
          <w:rFonts w:ascii="Times New Roman" w:hAnsi="Times New Roman" w:cs="Times New Roman"/>
          <w:sz w:val="24"/>
          <w:szCs w:val="24"/>
        </w:rPr>
        <w:t xml:space="preserve">SRMR is Standardized Root Mean Square Residual. SRMR is Standardized Root Mean Square Residual. </w:t>
      </w:r>
      <w:r>
        <w:rPr>
          <w:rFonts w:ascii="Times New Roman" w:hAnsi="Times New Roman" w:cs="Times New Roman"/>
          <w:sz w:val="24"/>
          <w:szCs w:val="24"/>
        </w:rPr>
        <w:t xml:space="preserve">According to </w:t>
      </w:r>
      <w:r>
        <w:rPr>
          <w:rFonts w:ascii="Times New Roman" w:hAnsi="Times New Roman" w:cs="Times New Roman"/>
          <w:sz w:val="24"/>
          <w:szCs w:val="24"/>
        </w:rPr>
        <w:fldChar w:fldCharType="begin" w:fldLock="1"/>
      </w:r>
      <w:r w:rsidR="00A51C04">
        <w:rPr>
          <w:rFonts w:ascii="Times New Roman" w:hAnsi="Times New Roman" w:cs="Times New Roman"/>
          <w:sz w:val="24"/>
          <w:szCs w:val="24"/>
        </w:rPr>
        <w:instrText>ADDIN CSL_CITATION {"citationItems":[{"id":"ITEM-1","itemData":{"author":[{"dropping-particle":"","family":"Schermelleh-Engel","given":"Karin","non-dropping-particle":"","parse-names":false,"suffix":""},{"dropping-particle":"","family":"Moosbrugger","given":"Helfried","non-dropping-particle":"","parse-names":false,"suffix":""},{"dropping-particle":"","family":"Müller","given":"Hans","non-dropping-particle":"","parse-names":false,"suffix":""}],"container-title":"Methods of Psychological Research Online","id":"ITEM-1","issued":{"date-parts":[["2003","5","25"]]},"page":"23–74","title":"Evaluating the Fit of Structural Equation Models: Tests of Significance and Descriptive Goodness-of-Fit Measures","type":"article-journal","volume":"8"},"uris":["http://www.mendeley.com/documents/?uuid=fcd1552a-432a-4b25-83b8-024e4f57f3c0"]}],"mendeley":{"formattedCitation":"(Schermelleh-Engel et al., 2003)","manualFormatting":"Schermelleh-Engel et al. (2003)","plainTextFormattedCitation":"(Schermelleh-Engel et al., 2003)","previouslyFormattedCitation":"(Schermelleh-Engel et al., 2003)"},"properties":{"noteIndex":0},"schema":"https://github.com/citation-style-language/schema/raw/master/csl-citation.json"}</w:instrText>
      </w:r>
      <w:r>
        <w:rPr>
          <w:rFonts w:ascii="Times New Roman" w:hAnsi="Times New Roman" w:cs="Times New Roman"/>
          <w:sz w:val="24"/>
          <w:szCs w:val="24"/>
        </w:rPr>
        <w:fldChar w:fldCharType="separate"/>
      </w:r>
      <w:r w:rsidRPr="006C2BE7">
        <w:rPr>
          <w:rFonts w:ascii="Times New Roman" w:hAnsi="Times New Roman" w:cs="Times New Roman"/>
          <w:noProof/>
          <w:sz w:val="24"/>
          <w:szCs w:val="24"/>
        </w:rPr>
        <w:t xml:space="preserve">Schermelleh-Engel et al. </w:t>
      </w:r>
      <w:r>
        <w:rPr>
          <w:rFonts w:ascii="Times New Roman" w:hAnsi="Times New Roman" w:cs="Times New Roman"/>
          <w:noProof/>
          <w:sz w:val="24"/>
          <w:szCs w:val="24"/>
        </w:rPr>
        <w:t>(</w:t>
      </w:r>
      <w:r w:rsidRPr="006C2BE7">
        <w:rPr>
          <w:rFonts w:ascii="Times New Roman" w:hAnsi="Times New Roman" w:cs="Times New Roman"/>
          <w:noProof/>
          <w:sz w:val="24"/>
          <w:szCs w:val="24"/>
        </w:rPr>
        <w:t>2003)</w:t>
      </w:r>
      <w:r>
        <w:rPr>
          <w:rFonts w:ascii="Times New Roman" w:hAnsi="Times New Roman" w:cs="Times New Roman"/>
          <w:sz w:val="24"/>
          <w:szCs w:val="24"/>
        </w:rPr>
        <w:fldChar w:fldCharType="end"/>
      </w:r>
      <w:r>
        <w:rPr>
          <w:rFonts w:ascii="Times New Roman" w:hAnsi="Times New Roman" w:cs="Times New Roman"/>
          <w:sz w:val="24"/>
          <w:szCs w:val="24"/>
        </w:rPr>
        <w:t>,</w:t>
      </w:r>
      <w:r w:rsidRPr="006C2BE7">
        <w:rPr>
          <w:rFonts w:ascii="Times New Roman" w:hAnsi="Times New Roman" w:cs="Times New Roman"/>
          <w:sz w:val="24"/>
          <w:szCs w:val="24"/>
        </w:rPr>
        <w:t xml:space="preserve"> </w:t>
      </w:r>
      <w:r>
        <w:rPr>
          <w:rFonts w:ascii="Times New Roman" w:hAnsi="Times New Roman" w:cs="Times New Roman"/>
          <w:sz w:val="24"/>
          <w:szCs w:val="24"/>
        </w:rPr>
        <w:t>the SRMR value between 0.08 and</w:t>
      </w:r>
      <w:r w:rsidRPr="006C2BE7">
        <w:rPr>
          <w:rFonts w:ascii="Times New Roman" w:hAnsi="Times New Roman" w:cs="Times New Roman"/>
          <w:sz w:val="24"/>
          <w:szCs w:val="24"/>
        </w:rPr>
        <w:t xml:space="preserve"> 0.10 indicates an acceptable fit model. The model estimation result is 0.1</w:t>
      </w:r>
      <w:r>
        <w:rPr>
          <w:rFonts w:ascii="Times New Roman" w:hAnsi="Times New Roman" w:cs="Times New Roman"/>
          <w:sz w:val="24"/>
          <w:szCs w:val="24"/>
        </w:rPr>
        <w:t>, meaning</w:t>
      </w:r>
      <w:r w:rsidRPr="006C2BE7">
        <w:rPr>
          <w:rFonts w:ascii="Times New Roman" w:hAnsi="Times New Roman" w:cs="Times New Roman"/>
          <w:sz w:val="24"/>
          <w:szCs w:val="24"/>
        </w:rPr>
        <w:t xml:space="preserve"> the model has an acceptable fit. Empirical data can explain the influence between variables in the model.</w:t>
      </w:r>
    </w:p>
    <w:p w14:paraId="30A86C5C" w14:textId="71A4DFE1" w:rsidR="00C62F69" w:rsidRDefault="00C62F69" w:rsidP="00C62F69">
      <w:pPr>
        <w:pStyle w:val="Heading1"/>
      </w:pPr>
      <w:r>
        <w:lastRenderedPageBreak/>
        <w:t>Discussion</w:t>
      </w:r>
    </w:p>
    <w:p w14:paraId="5D2DBB17" w14:textId="6BEA84E0" w:rsidR="00C62F69" w:rsidRDefault="00C62F69" w:rsidP="00C62F69">
      <w:pPr>
        <w:pStyle w:val="Heading2"/>
      </w:pPr>
      <w:r>
        <w:t>Theoretical Implications</w:t>
      </w:r>
    </w:p>
    <w:p w14:paraId="1EF88880" w14:textId="7F7764E0" w:rsidR="00C62F69" w:rsidRDefault="00DA7483" w:rsidP="00B3108E">
      <w:pPr>
        <w:spacing w:after="0"/>
        <w:ind w:firstLine="284"/>
        <w:jc w:val="both"/>
        <w:rPr>
          <w:rFonts w:ascii="Times New Roman" w:hAnsi="Times New Roman" w:cs="Times New Roman"/>
          <w:sz w:val="24"/>
          <w:szCs w:val="24"/>
        </w:rPr>
      </w:pPr>
      <w:r w:rsidRPr="00DA7483">
        <w:rPr>
          <w:rFonts w:ascii="Times New Roman" w:hAnsi="Times New Roman" w:cs="Times New Roman"/>
          <w:sz w:val="24"/>
          <w:szCs w:val="24"/>
        </w:rPr>
        <w:t>Data leaks in e-commerce can have serious consequences on consumers' perceptions of privacy, satisfaction, and trust</w:t>
      </w:r>
      <w:r w:rsidR="00C269A7">
        <w:rPr>
          <w:rFonts w:ascii="Times New Roman" w:hAnsi="Times New Roman" w:cs="Times New Roman"/>
          <w:sz w:val="24"/>
          <w:szCs w:val="24"/>
        </w:rPr>
        <w:t xml:space="preserve"> </w:t>
      </w:r>
      <w:r w:rsidR="00C269A7">
        <w:rPr>
          <w:rFonts w:ascii="Times New Roman" w:hAnsi="Times New Roman" w:cs="Times New Roman"/>
          <w:sz w:val="24"/>
          <w:szCs w:val="24"/>
        </w:rPr>
        <w:fldChar w:fldCharType="begin" w:fldLock="1"/>
      </w:r>
      <w:r w:rsidR="00C269A7">
        <w:rPr>
          <w:rFonts w:ascii="Times New Roman" w:hAnsi="Times New Roman" w:cs="Times New Roman"/>
          <w:sz w:val="24"/>
          <w:szCs w:val="24"/>
        </w:rPr>
        <w:instrText>ADDIN CSL_CITATION {"citationItems":[{"id":"ITEM-1","itemData":{"DOI":"10.2991/assehr.k.220404.096","abstract":"Tokopedia as a marketplace company experienced a leak of user's personal data due to burglary by a third party in 2020. In this regard, the Indonesian Consumer Community demands legal accountability against the Ministry of Communication and Information of the Republic of Indonesia related to the guarantee of Electronic System organizers on each component and the integration of all Electronic Systems operate properly, including Hardware, Software, experts, governance, and security for the personal data leakage event, including on Tokopedia. The problem is how is the legal responsibility of marketplace companies for user data leaks caused by burglary by third parties in the case of Tokopedia data leakage and how their accountability is viewed from the Consumer Protection Act. The method used is normative legal research. Tokopedia can be categorized as a business actor and its users are categorized as consumers. The position of the two in consumer protection law will have a different impact on the legal liability of Tokopedia in cases of data leaks that occur, so that liability issues arise. failure to protect the confidentiality of personal data to its users and improve the security system of the platform. Meanwhile, Tokopedia's legal liability under the Consumer Protection Law will be even wider, which includes civil and criminal legal liability.","author":[{"dropping-particle":"","family":"Perkasa","given":"Julius","non-dropping-particle":"","parse-names":false,"suffix":""},{"dropping-particle":"","family":"Saly","given":"Jeane Neltje","non-dropping-particle":"","parse-names":false,"suffix":""}],"container-title":"Proceedings of the 3rd Tarumanagara International Conference on the Applications of Social Sciences and Humanities (TICASH 2021)","id":"ITEM-1","issue":"8","issued":{"date-parts":[["2022"]]},"page":"606-614","title":"Legal Liability of Marketplace Companies Against Leaking of User Data Due to Third Party Breaking According to Law Number 8 of 1999 Concerning Consumer Protection (Case Example: Tokopedia User Data Leaking in 2020)","type":"article-journal","volume":"655"},"uris":["http://www.mendeley.com/documents/?uuid=3429c70b-4f5c-4424-a3f9-029039b485f0"]}],"mendeley":{"formattedCitation":"(Perkasa &amp; Saly, 2022)","plainTextFormattedCitation":"(Perkasa &amp; Saly, 2022)","previouslyFormattedCitation":"(Perkasa &amp; Saly, 2022)"},"properties":{"noteIndex":0},"schema":"https://github.com/citation-style-language/schema/raw/master/csl-citation.json"}</w:instrText>
      </w:r>
      <w:r w:rsidR="00C269A7">
        <w:rPr>
          <w:rFonts w:ascii="Times New Roman" w:hAnsi="Times New Roman" w:cs="Times New Roman"/>
          <w:sz w:val="24"/>
          <w:szCs w:val="24"/>
        </w:rPr>
        <w:fldChar w:fldCharType="separate"/>
      </w:r>
      <w:r w:rsidR="00C269A7" w:rsidRPr="00C269A7">
        <w:rPr>
          <w:rFonts w:ascii="Times New Roman" w:hAnsi="Times New Roman" w:cs="Times New Roman"/>
          <w:noProof/>
          <w:sz w:val="24"/>
          <w:szCs w:val="24"/>
        </w:rPr>
        <w:t>(Perkasa &amp; Saly, 2022)</w:t>
      </w:r>
      <w:r w:rsidR="00C269A7">
        <w:rPr>
          <w:rFonts w:ascii="Times New Roman" w:hAnsi="Times New Roman" w:cs="Times New Roman"/>
          <w:sz w:val="24"/>
          <w:szCs w:val="24"/>
        </w:rPr>
        <w:fldChar w:fldCharType="end"/>
      </w:r>
      <w:r w:rsidRPr="00DA7483">
        <w:rPr>
          <w:rFonts w:ascii="Times New Roman" w:hAnsi="Times New Roman" w:cs="Times New Roman"/>
          <w:sz w:val="24"/>
          <w:szCs w:val="24"/>
        </w:rPr>
        <w:t>. When consumer data is leaked, doubts about privacy increase, creating an atmosphere where consumers doubt the company's ability to protect their personal information</w:t>
      </w:r>
      <w:r w:rsidR="00C269A7">
        <w:rPr>
          <w:rFonts w:ascii="Times New Roman" w:hAnsi="Times New Roman" w:cs="Times New Roman"/>
          <w:sz w:val="24"/>
          <w:szCs w:val="24"/>
        </w:rPr>
        <w:t xml:space="preserve"> </w:t>
      </w:r>
      <w:r w:rsidR="00C269A7">
        <w:rPr>
          <w:rFonts w:ascii="Times New Roman" w:hAnsi="Times New Roman" w:cs="Times New Roman"/>
          <w:sz w:val="24"/>
          <w:szCs w:val="24"/>
        </w:rPr>
        <w:fldChar w:fldCharType="begin" w:fldLock="1"/>
      </w:r>
      <w:r w:rsidR="00B3108E">
        <w:rPr>
          <w:rFonts w:ascii="Times New Roman" w:hAnsi="Times New Roman" w:cs="Times New Roman"/>
          <w:sz w:val="24"/>
          <w:szCs w:val="24"/>
        </w:rPr>
        <w:instrText>ADDIN CSL_CITATION {"citationItems":[{"id":"ITEM-1","itemData":{"DOI":"10.21511/im.19(2).2023.19","ISSN":"18142427","abstract":"The study aims to explore how consumer satisfaction influences consumer trust and, ultimately, builds strong consumer loyalty in the dynamic world of Indonesian e-commerce. The relevance of this study is determined by how e-commerce businesses can improve customer loyalty by enhancing consumer trust and satisfaction. The study used a quantitative research design and surveyed 230 consumers from Jakarta, Indonesia. The data analysis involved utilizing validation and descriptive statistics in MS Excel and inferential statistics through SmartPLS to draw meaningful conclusions. The results showed a positive, significant, and direct relationship between consumer satisfaction and consumer loyalty. The R2 for consumer loyalty indicates that consumer satisfaction and consumer trust explain 56.6% of the variances in consumer loyalty, whereas consumer satisfaction explains 37.4% of the variances in consumer trust. Furthermore, the findings showed that this relationship is strengthened when consumer trust is included as a mediator, demonstrating a complementary partial mediation indicating that trust enhances consumer loyalty. Thus, the study concludes that consumers are more likely to feel loyal to e-commerce websites when their satisfaction is combined with trust. It provides considerable insights into the determinants of consumer loyalty and emphasizes the importance of establishing trust in e-commerce websites as a critical strategy to enhance customer loyalty. This paper also contributes to the broader literature on consumer behavior and loyalty in the context of digital business, providing new insights and perspectives that can help shape future research in this area.","author":[{"dropping-particle":"","family":"Kurniadi","given":"Hadi","non-dropping-particle":"","parse-names":false,"suffix":""},{"dropping-particle":"","family":"Ali Saeed Rana","given":"Junaid","non-dropping-particle":"","parse-names":false,"suffix":""}],"container-title":"Innovative Marketing","id":"ITEM-1","issue":"2","issued":{"date-parts":[["2023","6","22"]]},"page":"236-249","title":"The power of trust: How does consumer trust impact satisfaction and loyalty in Indonesian digital business?","type":"article-journal","volume":"19"},"uris":["http://www.mendeley.com/documents/?uuid=63417787-e13b-49f9-8d53-f1f32aca888c"]}],"mendeley":{"formattedCitation":"(Kurniadi &amp; Ali Saeed Rana, 2023)","plainTextFormattedCitation":"(Kurniadi &amp; Ali Saeed Rana, 2023)","previouslyFormattedCitation":"(Kurniadi &amp; Ali Saeed Rana, 2023)"},"properties":{"noteIndex":0},"schema":"https://github.com/citation-style-language/schema/raw/master/csl-citation.json"}</w:instrText>
      </w:r>
      <w:r w:rsidR="00C269A7">
        <w:rPr>
          <w:rFonts w:ascii="Times New Roman" w:hAnsi="Times New Roman" w:cs="Times New Roman"/>
          <w:sz w:val="24"/>
          <w:szCs w:val="24"/>
        </w:rPr>
        <w:fldChar w:fldCharType="separate"/>
      </w:r>
      <w:r w:rsidR="00C269A7" w:rsidRPr="00C269A7">
        <w:rPr>
          <w:rFonts w:ascii="Times New Roman" w:hAnsi="Times New Roman" w:cs="Times New Roman"/>
          <w:noProof/>
          <w:sz w:val="24"/>
          <w:szCs w:val="24"/>
        </w:rPr>
        <w:t>(Kurniadi &amp; Ali Saeed Rana, 2023)</w:t>
      </w:r>
      <w:r w:rsidR="00C269A7">
        <w:rPr>
          <w:rFonts w:ascii="Times New Roman" w:hAnsi="Times New Roman" w:cs="Times New Roman"/>
          <w:sz w:val="24"/>
          <w:szCs w:val="24"/>
        </w:rPr>
        <w:fldChar w:fldCharType="end"/>
      </w:r>
      <w:r w:rsidRPr="00DA7483">
        <w:rPr>
          <w:rFonts w:ascii="Times New Roman" w:hAnsi="Times New Roman" w:cs="Times New Roman"/>
          <w:sz w:val="24"/>
          <w:szCs w:val="24"/>
        </w:rPr>
        <w:t xml:space="preserve">. This often results in </w:t>
      </w:r>
      <w:r w:rsidR="00B3108E">
        <w:rPr>
          <w:rFonts w:ascii="Times New Roman" w:hAnsi="Times New Roman" w:cs="Times New Roman"/>
          <w:sz w:val="24"/>
          <w:szCs w:val="24"/>
        </w:rPr>
        <w:t>decreased consumer satisfaction as they feel unsafe</w:t>
      </w:r>
      <w:r w:rsidRPr="00DA7483">
        <w:rPr>
          <w:rFonts w:ascii="Times New Roman" w:hAnsi="Times New Roman" w:cs="Times New Roman"/>
          <w:sz w:val="24"/>
          <w:szCs w:val="24"/>
        </w:rPr>
        <w:t xml:space="preserve"> using the e-commerce platform</w:t>
      </w:r>
      <w:r w:rsidR="00B3108E">
        <w:rPr>
          <w:rFonts w:ascii="Times New Roman" w:hAnsi="Times New Roman" w:cs="Times New Roman"/>
          <w:sz w:val="24"/>
          <w:szCs w:val="24"/>
        </w:rPr>
        <w:t xml:space="preserve"> </w:t>
      </w:r>
      <w:r w:rsidR="00B3108E">
        <w:rPr>
          <w:rFonts w:ascii="Times New Roman" w:hAnsi="Times New Roman" w:cs="Times New Roman"/>
          <w:sz w:val="24"/>
          <w:szCs w:val="24"/>
        </w:rPr>
        <w:fldChar w:fldCharType="begin" w:fldLock="1"/>
      </w:r>
      <w:r w:rsidR="00B3108E">
        <w:rPr>
          <w:rFonts w:ascii="Times New Roman" w:hAnsi="Times New Roman" w:cs="Times New Roman"/>
          <w:sz w:val="24"/>
          <w:szCs w:val="24"/>
        </w:rPr>
        <w:instrText>ADDIN CSL_CITATION {"citationItems":[{"id":"ITEM-1","itemData":{"ISSN":"18173195","abstract":"Customer e-loyalty is an important issue in the very competitive environment of e-banking. Different studies show that e-loyalty is influenced by e-satisfaction, e-trust and e-service quality. However, little attention has been given in the literature to fully understand the full relationships among them. The purpose of this study is to empirically investigate the impacts of e-satisfaction, e-trust and e-service quality on eloyalty, in e-banking as an aspect of B2C e-commerce context. Data was collected to test the model from faculties and students of Tehran universities as respondents, and empirical analyses were performed using SEM. The analytical results indicate that although service quality, e-satisfaction, and e-trust have strong direct effect on e-loyalty, impacts of indirect effects (with e-satisfaction and e-trust playing mediating roles) are more significant. Additionally, this study represents a framework that indicates the full relationship among the three factors and their (direct and indirect) effects on e-loyalty, a phenomenon that has not previously been explored. © 2005 - 2011 JATIT &amp; LLS. All rights reserved.","author":[{"dropping-particle":"","family":"Ghane","given":"Soheila","non-dropping-particle":"","parse-names":false,"suffix":""},{"dropping-particle":"","family":"Fathian","given":"M.","non-dropping-particle":"","parse-names":false,"suffix":""},{"dropping-particle":"","family":"Gholamian","given":"M. R.","non-dropping-particle":"","parse-names":false,"suffix":""}],"container-title":"Journal of Theoretical and Applied Information Technology","id":"ITEM-1","issue":"1","issued":{"date-parts":[["2011"]]},"page":"1-6","title":"Full relationship among e-satisfaction, e-trust, e-service quality, and e-loyalty: The case of Iran e-banking","type":"article-journal","volume":"33"},"uris":["http://www.mendeley.com/documents/?uuid=8effaf8f-2666-4815-968f-e10a2081c00e"]}],"mendeley":{"formattedCitation":"(Ghane et al., 2011)","plainTextFormattedCitation":"(Ghane et al., 2011)","previouslyFormattedCitation":"(Ghane et al., 2011)"},"properties":{"noteIndex":0},"schema":"https://github.com/citation-style-language/schema/raw/master/csl-citation.json"}</w:instrText>
      </w:r>
      <w:r w:rsidR="00B3108E">
        <w:rPr>
          <w:rFonts w:ascii="Times New Roman" w:hAnsi="Times New Roman" w:cs="Times New Roman"/>
          <w:sz w:val="24"/>
          <w:szCs w:val="24"/>
        </w:rPr>
        <w:fldChar w:fldCharType="separate"/>
      </w:r>
      <w:r w:rsidR="00B3108E" w:rsidRPr="00B3108E">
        <w:rPr>
          <w:rFonts w:ascii="Times New Roman" w:hAnsi="Times New Roman" w:cs="Times New Roman"/>
          <w:noProof/>
          <w:sz w:val="24"/>
          <w:szCs w:val="24"/>
        </w:rPr>
        <w:t>(Ghane et al., 2011)</w:t>
      </w:r>
      <w:r w:rsidR="00B3108E">
        <w:rPr>
          <w:rFonts w:ascii="Times New Roman" w:hAnsi="Times New Roman" w:cs="Times New Roman"/>
          <w:sz w:val="24"/>
          <w:szCs w:val="24"/>
        </w:rPr>
        <w:fldChar w:fldCharType="end"/>
      </w:r>
      <w:r w:rsidRPr="00DA7483">
        <w:rPr>
          <w:rFonts w:ascii="Times New Roman" w:hAnsi="Times New Roman" w:cs="Times New Roman"/>
          <w:sz w:val="24"/>
          <w:szCs w:val="24"/>
        </w:rPr>
        <w:t>. In particular, consumers' trust in such companies and platforms may be eroded, as data leaks indicate a failure to maintain the security and privacy of personal information</w:t>
      </w:r>
      <w:r w:rsidR="00B3108E">
        <w:rPr>
          <w:rFonts w:ascii="Times New Roman" w:hAnsi="Times New Roman" w:cs="Times New Roman"/>
          <w:sz w:val="24"/>
          <w:szCs w:val="24"/>
        </w:rPr>
        <w:t xml:space="preserve"> </w:t>
      </w:r>
      <w:r w:rsidR="00B3108E">
        <w:rPr>
          <w:rFonts w:ascii="Times New Roman" w:hAnsi="Times New Roman" w:cs="Times New Roman"/>
          <w:sz w:val="24"/>
          <w:szCs w:val="24"/>
        </w:rPr>
        <w:fldChar w:fldCharType="begin" w:fldLock="1"/>
      </w:r>
      <w:r w:rsidR="00B3108E">
        <w:rPr>
          <w:rFonts w:ascii="Times New Roman" w:hAnsi="Times New Roman" w:cs="Times New Roman"/>
          <w:sz w:val="24"/>
          <w:szCs w:val="24"/>
        </w:rPr>
        <w:instrText>ADDIN CSL_CITATION {"citationItems":[{"id":"ITEM-1","itemData":{"abstract":"Rapid technological advances are now driving all human activities so that they can be carried out through media mediated by communication networks and the internet, including shopping activities which are increasingly facilitated by the growing growth of e-commerce in Indonesia. Besides the advancement of technology, it is also accompanied by cyber crimes that are also experienced by Tokopedia. This study aims to examine the use of advertising titled promos to lead public opinion as a step and effort to increase trust and competitiveness. The type of research used is qualitative research using data analysis methods and is supported by additional interviews with Tokopedia consumers. The results of research related to user data security show that the level of cyber security in e-commerce in Indonesia is still low, thus making crimes such as cyber crime increase.","author":[{"dropping-particle":"","family":"Komalawati","given":"Desi","non-dropping-particle":"","parse-names":false,"suffix":""},{"dropping-particle":"","family":"Dewi R","given":"Maria M","non-dropping-particle":"","parse-names":false,"suffix":""},{"dropping-particle":"","family":"K","given":"Raiseta D","non-dropping-particle":"","parse-names":false,"suffix":""},{"dropping-particle":"","family":"P","given":"Ayulia K","non-dropping-particle":"","parse-names":false,"suffix":""}],"container-title":"Medio","id":"ITEM-1","issue":"2","issued":{"date-parts":[["2020"]]},"page":"114-122","title":"The Shock Of Tens Billion Tokopedia In The Middle Of Data Leaking Cases`","type":"article-journal","volume":"2"},"uris":["http://www.mendeley.com/documents/?uuid=b361934c-882a-4275-9e12-202e8d60a862"]}],"mendeley":{"formattedCitation":"(Komalawati et al., 2020)","plainTextFormattedCitation":"(Komalawati et al., 2020)"},"properties":{"noteIndex":0},"schema":"https://github.com/citation-style-language/schema/raw/master/csl-citation.json"}</w:instrText>
      </w:r>
      <w:r w:rsidR="00B3108E">
        <w:rPr>
          <w:rFonts w:ascii="Times New Roman" w:hAnsi="Times New Roman" w:cs="Times New Roman"/>
          <w:sz w:val="24"/>
          <w:szCs w:val="24"/>
        </w:rPr>
        <w:fldChar w:fldCharType="separate"/>
      </w:r>
      <w:r w:rsidR="00B3108E" w:rsidRPr="00B3108E">
        <w:rPr>
          <w:rFonts w:ascii="Times New Roman" w:hAnsi="Times New Roman" w:cs="Times New Roman"/>
          <w:noProof/>
          <w:sz w:val="24"/>
          <w:szCs w:val="24"/>
        </w:rPr>
        <w:t>(Komalawati et al., 2020)</w:t>
      </w:r>
      <w:r w:rsidR="00B3108E">
        <w:rPr>
          <w:rFonts w:ascii="Times New Roman" w:hAnsi="Times New Roman" w:cs="Times New Roman"/>
          <w:sz w:val="24"/>
          <w:szCs w:val="24"/>
        </w:rPr>
        <w:fldChar w:fldCharType="end"/>
      </w:r>
      <w:r w:rsidRPr="00DA7483">
        <w:rPr>
          <w:rFonts w:ascii="Times New Roman" w:hAnsi="Times New Roman" w:cs="Times New Roman"/>
          <w:sz w:val="24"/>
          <w:szCs w:val="24"/>
        </w:rPr>
        <w:t>. As a result, e-commerce companies may experience a decrease in customer loyalty, a damaged reputation, and even a decrease in revenue due to lost business. Therefore, it is important for e-commerce companies to take decisive steps to protect consumer data and rebuild trust through concrete actions that affirm their commitment to security and privacy.</w:t>
      </w:r>
    </w:p>
    <w:p w14:paraId="2265E402" w14:textId="45C060B9" w:rsidR="00B3108E" w:rsidRDefault="00B3108E" w:rsidP="00B3108E">
      <w:pPr>
        <w:ind w:firstLine="284"/>
        <w:jc w:val="both"/>
        <w:rPr>
          <w:rFonts w:ascii="Times New Roman" w:hAnsi="Times New Roman" w:cs="Times New Roman"/>
          <w:sz w:val="24"/>
          <w:szCs w:val="24"/>
        </w:rPr>
      </w:pPr>
      <w:r w:rsidRPr="00B3108E">
        <w:rPr>
          <w:rFonts w:ascii="Times New Roman" w:hAnsi="Times New Roman" w:cs="Times New Roman"/>
          <w:sz w:val="24"/>
          <w:szCs w:val="24"/>
        </w:rPr>
        <w:t xml:space="preserve">In addition, users often do not hesitate to use e-commerce platforms because of their needs and the many promos offered by e-commerce platforms, and e-commerce companies should also socialize company policies regarding privacy data, so that users feel more calm and comfortable in using. However, due to the need to use the e-commerce platform, based on this research, the cynical attitude towards the e-commerce platform at this time shows that it does not have a significant effect, even though the level of trust has decreased, the intensity of using e-commerce has increased, even though it had decreased at the beginning.  </w:t>
      </w:r>
    </w:p>
    <w:p w14:paraId="7BBF938D" w14:textId="71C641D0" w:rsidR="00C62F69" w:rsidRPr="00C62F69" w:rsidRDefault="00C62F69" w:rsidP="00A0773D">
      <w:pPr>
        <w:pStyle w:val="Heading2"/>
        <w:spacing w:after="0"/>
      </w:pPr>
      <w:r>
        <w:t>Limitations and future research directions</w:t>
      </w:r>
    </w:p>
    <w:p w14:paraId="7672F2B0" w14:textId="5EFEB567" w:rsidR="00B52B78" w:rsidRDefault="00B52B78" w:rsidP="00A0773D">
      <w:pPr>
        <w:spacing w:after="0"/>
        <w:ind w:firstLine="284"/>
        <w:jc w:val="both"/>
        <w:rPr>
          <w:rFonts w:ascii="Times New Roman" w:hAnsi="Times New Roman" w:cs="Times New Roman"/>
          <w:iCs/>
          <w:color w:val="000000" w:themeColor="text1"/>
          <w:sz w:val="24"/>
          <w:szCs w:val="24"/>
        </w:rPr>
      </w:pPr>
      <w:r w:rsidRPr="00A0773D">
        <w:rPr>
          <w:rFonts w:ascii="Times New Roman" w:hAnsi="Times New Roman" w:cs="Times New Roman"/>
          <w:iCs/>
          <w:color w:val="000000" w:themeColor="text1"/>
          <w:sz w:val="24"/>
          <w:szCs w:val="24"/>
        </w:rPr>
        <w:t>Limitation research focu</w:t>
      </w:r>
      <w:r w:rsidR="00A0773D" w:rsidRPr="00A0773D">
        <w:rPr>
          <w:rFonts w:ascii="Times New Roman" w:hAnsi="Times New Roman" w:cs="Times New Roman"/>
          <w:iCs/>
          <w:color w:val="000000" w:themeColor="text1"/>
          <w:sz w:val="24"/>
          <w:szCs w:val="24"/>
        </w:rPr>
        <w:t>se</w:t>
      </w:r>
      <w:r w:rsidRPr="00A0773D">
        <w:rPr>
          <w:rFonts w:ascii="Times New Roman" w:hAnsi="Times New Roman" w:cs="Times New Roman"/>
          <w:iCs/>
          <w:color w:val="000000" w:themeColor="text1"/>
          <w:sz w:val="24"/>
          <w:szCs w:val="24"/>
        </w:rPr>
        <w:t xml:space="preserve">s on </w:t>
      </w:r>
      <w:r w:rsidR="00A0773D" w:rsidRPr="00A0773D">
        <w:rPr>
          <w:rFonts w:ascii="Times New Roman" w:hAnsi="Times New Roman" w:cs="Times New Roman"/>
          <w:iCs/>
          <w:color w:val="000000" w:themeColor="text1"/>
          <w:sz w:val="24"/>
          <w:szCs w:val="24"/>
        </w:rPr>
        <w:t xml:space="preserve">the </w:t>
      </w:r>
      <w:r w:rsidRPr="00A0773D">
        <w:rPr>
          <w:rFonts w:ascii="Times New Roman" w:hAnsi="Times New Roman" w:cs="Times New Roman"/>
          <w:iCs/>
          <w:color w:val="000000" w:themeColor="text1"/>
          <w:sz w:val="24"/>
          <w:szCs w:val="24"/>
        </w:rPr>
        <w:t xml:space="preserve">e-commerce Tokopedia platform. Therefore, the subjects of this study do not represent other subjects or other e-commerce </w:t>
      </w:r>
      <w:r w:rsidR="00A0773D" w:rsidRPr="00A0773D">
        <w:rPr>
          <w:rFonts w:ascii="Times New Roman" w:hAnsi="Times New Roman" w:cs="Times New Roman"/>
          <w:iCs/>
          <w:color w:val="000000" w:themeColor="text1"/>
          <w:sz w:val="24"/>
          <w:szCs w:val="24"/>
        </w:rPr>
        <w:t>sites with many users, such as Shopee, Buka Lapak,</w:t>
      </w:r>
      <w:r w:rsidRPr="00A0773D">
        <w:rPr>
          <w:rFonts w:ascii="Times New Roman" w:hAnsi="Times New Roman" w:cs="Times New Roman"/>
          <w:iCs/>
          <w:color w:val="000000" w:themeColor="text1"/>
          <w:sz w:val="24"/>
          <w:szCs w:val="24"/>
        </w:rPr>
        <w:t xml:space="preserve"> and Lazada.</w:t>
      </w:r>
      <w:r w:rsidR="00A0773D" w:rsidRPr="00A0773D">
        <w:rPr>
          <w:rFonts w:ascii="Times New Roman" w:hAnsi="Times New Roman" w:cs="Times New Roman"/>
          <w:iCs/>
          <w:color w:val="000000" w:themeColor="text1"/>
          <w:sz w:val="24"/>
          <w:szCs w:val="24"/>
        </w:rPr>
        <w:t xml:space="preserve"> </w:t>
      </w:r>
      <w:r w:rsidRPr="00A0773D">
        <w:rPr>
          <w:rFonts w:ascii="Times New Roman" w:hAnsi="Times New Roman" w:cs="Times New Roman"/>
          <w:iCs/>
          <w:color w:val="000000" w:themeColor="text1"/>
          <w:sz w:val="24"/>
          <w:szCs w:val="24"/>
        </w:rPr>
        <w:t xml:space="preserve">Second, because this research is </w:t>
      </w:r>
      <w:r w:rsidR="00A0773D" w:rsidRPr="00A0773D">
        <w:rPr>
          <w:rFonts w:ascii="Times New Roman" w:hAnsi="Times New Roman" w:cs="Times New Roman"/>
          <w:iCs/>
          <w:color w:val="000000" w:themeColor="text1"/>
          <w:sz w:val="24"/>
          <w:szCs w:val="24"/>
        </w:rPr>
        <w:t xml:space="preserve">a </w:t>
      </w:r>
      <w:r w:rsidRPr="00A0773D">
        <w:rPr>
          <w:rFonts w:ascii="Times New Roman" w:hAnsi="Times New Roman" w:cs="Times New Roman"/>
          <w:iCs/>
          <w:color w:val="000000" w:themeColor="text1"/>
          <w:sz w:val="24"/>
          <w:szCs w:val="24"/>
        </w:rPr>
        <w:t>non-probability sampling us</w:t>
      </w:r>
      <w:r w:rsidR="00A0773D" w:rsidRPr="00A0773D">
        <w:rPr>
          <w:rFonts w:ascii="Times New Roman" w:hAnsi="Times New Roman" w:cs="Times New Roman"/>
          <w:iCs/>
          <w:color w:val="000000" w:themeColor="text1"/>
          <w:sz w:val="24"/>
          <w:szCs w:val="24"/>
        </w:rPr>
        <w:t>ing</w:t>
      </w:r>
      <w:r w:rsidRPr="00A0773D">
        <w:rPr>
          <w:rFonts w:ascii="Times New Roman" w:hAnsi="Times New Roman" w:cs="Times New Roman"/>
          <w:iCs/>
          <w:color w:val="000000" w:themeColor="text1"/>
          <w:sz w:val="24"/>
          <w:szCs w:val="24"/>
        </w:rPr>
        <w:t xml:space="preserve"> </w:t>
      </w:r>
      <w:r w:rsidR="00A0773D" w:rsidRPr="00A0773D">
        <w:rPr>
          <w:rFonts w:ascii="Times New Roman" w:hAnsi="Times New Roman" w:cs="Times New Roman"/>
          <w:iCs/>
          <w:color w:val="000000" w:themeColor="text1"/>
          <w:sz w:val="24"/>
          <w:szCs w:val="24"/>
        </w:rPr>
        <w:t xml:space="preserve">the </w:t>
      </w:r>
      <w:r w:rsidRPr="00A0773D">
        <w:rPr>
          <w:rFonts w:ascii="Times New Roman" w:hAnsi="Times New Roman" w:cs="Times New Roman"/>
          <w:iCs/>
          <w:color w:val="000000" w:themeColor="text1"/>
          <w:sz w:val="24"/>
          <w:szCs w:val="24"/>
        </w:rPr>
        <w:t>judgment sampling technique, not all individuals in the population are selected to be respondents. The entire population in the non-probability sampling did not get the same opportunity to become respondents in this study. Therefore, the results obtained cannot generali</w:t>
      </w:r>
      <w:r w:rsidR="00BB2FA6">
        <w:rPr>
          <w:rFonts w:ascii="Times New Roman" w:hAnsi="Times New Roman" w:cs="Times New Roman"/>
          <w:iCs/>
          <w:color w:val="000000" w:themeColor="text1"/>
          <w:sz w:val="24"/>
          <w:szCs w:val="24"/>
        </w:rPr>
        <w:t>s</w:t>
      </w:r>
      <w:r w:rsidRPr="00A0773D">
        <w:rPr>
          <w:rFonts w:ascii="Times New Roman" w:hAnsi="Times New Roman" w:cs="Times New Roman"/>
          <w:iCs/>
          <w:color w:val="000000" w:themeColor="text1"/>
          <w:sz w:val="24"/>
          <w:szCs w:val="24"/>
        </w:rPr>
        <w:t>e to the entire population of Tokopedia users.</w:t>
      </w:r>
      <w:r w:rsidR="00A0773D" w:rsidRPr="00A0773D">
        <w:rPr>
          <w:rFonts w:ascii="Times New Roman" w:hAnsi="Times New Roman" w:cs="Times New Roman"/>
          <w:iCs/>
          <w:color w:val="000000" w:themeColor="text1"/>
          <w:sz w:val="24"/>
          <w:szCs w:val="24"/>
        </w:rPr>
        <w:t xml:space="preserve"> </w:t>
      </w:r>
    </w:p>
    <w:p w14:paraId="6C8220BC" w14:textId="77777777" w:rsidR="00FA19EF" w:rsidRPr="00A0773D" w:rsidRDefault="00FA19EF" w:rsidP="00A0773D">
      <w:pPr>
        <w:spacing w:after="0"/>
        <w:ind w:firstLine="284"/>
        <w:jc w:val="both"/>
        <w:rPr>
          <w:rFonts w:ascii="Times New Roman" w:hAnsi="Times New Roman" w:cs="Times New Roman"/>
          <w:iCs/>
          <w:color w:val="000000" w:themeColor="text1"/>
          <w:sz w:val="24"/>
          <w:szCs w:val="24"/>
        </w:rPr>
      </w:pPr>
    </w:p>
    <w:p w14:paraId="269026A1" w14:textId="77777777" w:rsidR="00D32E59" w:rsidRPr="00A0773D" w:rsidRDefault="00D32E59" w:rsidP="00D32E59">
      <w:pPr>
        <w:spacing w:after="0" w:line="240" w:lineRule="auto"/>
        <w:rPr>
          <w:rFonts w:ascii="Times New Roman" w:hAnsi="Times New Roman" w:cs="Times New Roman"/>
          <w:b/>
          <w:bCs/>
          <w:sz w:val="24"/>
          <w:szCs w:val="24"/>
        </w:rPr>
      </w:pPr>
      <w:r w:rsidRPr="00A0773D">
        <w:rPr>
          <w:rFonts w:ascii="Times New Roman" w:hAnsi="Times New Roman" w:cs="Times New Roman"/>
          <w:b/>
          <w:bCs/>
          <w:sz w:val="24"/>
          <w:szCs w:val="24"/>
        </w:rPr>
        <w:t>Conflict of interest</w:t>
      </w:r>
    </w:p>
    <w:p w14:paraId="0FC2A43E" w14:textId="572EB0D9" w:rsidR="00D32E59" w:rsidRDefault="00D32E59" w:rsidP="00D32E59">
      <w:pPr>
        <w:spacing w:after="0" w:line="240" w:lineRule="auto"/>
        <w:jc w:val="both"/>
        <w:rPr>
          <w:rFonts w:ascii="Times New Roman" w:hAnsi="Times New Roman" w:cs="Times New Roman"/>
          <w:sz w:val="24"/>
          <w:szCs w:val="24"/>
        </w:rPr>
      </w:pPr>
      <w:r w:rsidRPr="00A0773D">
        <w:rPr>
          <w:rFonts w:ascii="Times New Roman" w:hAnsi="Times New Roman" w:cs="Times New Roman"/>
          <w:sz w:val="24"/>
          <w:szCs w:val="24"/>
        </w:rPr>
        <w:t>On behalf of all authors, the corresponding author declares that there are no conflicts of interest. All authors have approved this manuscript and agree to submit it to the International Conference on Advancements of Business Ethics and Corporate Social Responsibility 2024</w:t>
      </w:r>
    </w:p>
    <w:p w14:paraId="35436C0B" w14:textId="77777777" w:rsidR="00FA19EF" w:rsidRPr="00A0773D" w:rsidRDefault="00FA19EF" w:rsidP="00D32E59">
      <w:pPr>
        <w:spacing w:after="0" w:line="240" w:lineRule="auto"/>
        <w:jc w:val="both"/>
        <w:rPr>
          <w:rFonts w:ascii="Times New Roman" w:hAnsi="Times New Roman" w:cs="Times New Roman"/>
          <w:sz w:val="24"/>
          <w:szCs w:val="24"/>
        </w:rPr>
      </w:pPr>
    </w:p>
    <w:p w14:paraId="7D4E24D2" w14:textId="77777777" w:rsidR="00D32E59" w:rsidRPr="00A0773D" w:rsidRDefault="00D32E59" w:rsidP="00D32E59">
      <w:pPr>
        <w:spacing w:after="0" w:line="240" w:lineRule="auto"/>
        <w:rPr>
          <w:rFonts w:ascii="Times New Roman" w:hAnsi="Times New Roman" w:cs="Times New Roman"/>
          <w:b/>
          <w:bCs/>
          <w:sz w:val="24"/>
          <w:szCs w:val="24"/>
        </w:rPr>
      </w:pPr>
      <w:r w:rsidRPr="00A0773D">
        <w:rPr>
          <w:rFonts w:ascii="Times New Roman" w:hAnsi="Times New Roman" w:cs="Times New Roman"/>
          <w:b/>
          <w:bCs/>
          <w:sz w:val="24"/>
          <w:szCs w:val="24"/>
        </w:rPr>
        <w:t>Declaration of generative AI in scientific writing</w:t>
      </w:r>
    </w:p>
    <w:p w14:paraId="234BEB31" w14:textId="7694BB75" w:rsidR="00D32E59" w:rsidRDefault="00D32E59" w:rsidP="00D32E59">
      <w:pPr>
        <w:spacing w:after="0" w:line="240" w:lineRule="auto"/>
        <w:jc w:val="both"/>
        <w:rPr>
          <w:rFonts w:ascii="Times New Roman" w:hAnsi="Times New Roman" w:cs="Times New Roman"/>
          <w:sz w:val="24"/>
          <w:szCs w:val="24"/>
        </w:rPr>
      </w:pPr>
      <w:r w:rsidRPr="00A0773D">
        <w:rPr>
          <w:rFonts w:ascii="Times New Roman" w:hAnsi="Times New Roman" w:cs="Times New Roman"/>
          <w:sz w:val="24"/>
          <w:szCs w:val="24"/>
        </w:rPr>
        <w:t>During the preparation of this work, the authors used Grammarly, Quillbot, DeepL, and ChatGPT to check the quality of our language and improve its clarity and readability. After using these tools, the authors reviewed and edited the content as needed and t</w:t>
      </w:r>
      <w:r w:rsidR="00A0773D">
        <w:rPr>
          <w:rFonts w:ascii="Times New Roman" w:hAnsi="Times New Roman" w:cs="Times New Roman"/>
          <w:sz w:val="24"/>
          <w:szCs w:val="24"/>
        </w:rPr>
        <w:t>ook</w:t>
      </w:r>
      <w:r w:rsidRPr="00A0773D">
        <w:rPr>
          <w:rFonts w:ascii="Times New Roman" w:hAnsi="Times New Roman" w:cs="Times New Roman"/>
          <w:sz w:val="24"/>
          <w:szCs w:val="24"/>
        </w:rPr>
        <w:t xml:space="preserve"> full responsibility for the </w:t>
      </w:r>
      <w:r w:rsidR="00A0773D">
        <w:rPr>
          <w:rFonts w:ascii="Times New Roman" w:hAnsi="Times New Roman" w:cs="Times New Roman"/>
          <w:sz w:val="24"/>
          <w:szCs w:val="24"/>
        </w:rPr>
        <w:t>publication</w:t>
      </w:r>
      <w:r w:rsidR="002E6C2A">
        <w:rPr>
          <w:rFonts w:ascii="Times New Roman" w:hAnsi="Times New Roman" w:cs="Times New Roman"/>
          <w:sz w:val="24"/>
          <w:szCs w:val="24"/>
        </w:rPr>
        <w:t>'</w:t>
      </w:r>
      <w:r w:rsidR="00A0773D">
        <w:rPr>
          <w:rFonts w:ascii="Times New Roman" w:hAnsi="Times New Roman" w:cs="Times New Roman"/>
          <w:sz w:val="24"/>
          <w:szCs w:val="24"/>
        </w:rPr>
        <w:t>s content</w:t>
      </w:r>
      <w:r w:rsidRPr="00A0773D">
        <w:rPr>
          <w:rFonts w:ascii="Times New Roman" w:hAnsi="Times New Roman" w:cs="Times New Roman"/>
          <w:sz w:val="24"/>
          <w:szCs w:val="24"/>
        </w:rPr>
        <w:t>.</w:t>
      </w:r>
    </w:p>
    <w:p w14:paraId="42E87310" w14:textId="77777777" w:rsidR="00FA19EF" w:rsidRPr="00A0773D" w:rsidRDefault="00FA19EF" w:rsidP="00D32E59">
      <w:pPr>
        <w:spacing w:after="0" w:line="240" w:lineRule="auto"/>
        <w:jc w:val="both"/>
        <w:rPr>
          <w:rFonts w:ascii="Times New Roman" w:hAnsi="Times New Roman" w:cs="Times New Roman"/>
          <w:sz w:val="24"/>
          <w:szCs w:val="24"/>
        </w:rPr>
      </w:pPr>
    </w:p>
    <w:p w14:paraId="015959CC" w14:textId="28945E9F" w:rsidR="00D32E59" w:rsidRPr="00A0773D" w:rsidRDefault="00D32E59" w:rsidP="00D32E59">
      <w:pPr>
        <w:spacing w:after="0" w:line="240" w:lineRule="auto"/>
        <w:jc w:val="both"/>
        <w:rPr>
          <w:rFonts w:ascii="Times New Roman" w:hAnsi="Times New Roman" w:cs="Times New Roman"/>
          <w:b/>
          <w:bCs/>
          <w:sz w:val="24"/>
          <w:szCs w:val="24"/>
        </w:rPr>
      </w:pPr>
      <w:r w:rsidRPr="00A0773D">
        <w:rPr>
          <w:rFonts w:ascii="Times New Roman" w:hAnsi="Times New Roman" w:cs="Times New Roman"/>
          <w:sz w:val="24"/>
          <w:szCs w:val="24"/>
        </w:rPr>
        <w:t xml:space="preserve"> </w:t>
      </w:r>
      <w:r w:rsidRPr="00A0773D">
        <w:rPr>
          <w:rFonts w:ascii="Times New Roman" w:hAnsi="Times New Roman" w:cs="Times New Roman"/>
          <w:b/>
          <w:bCs/>
          <w:sz w:val="24"/>
          <w:szCs w:val="24"/>
        </w:rPr>
        <w:t>Data availability statement</w:t>
      </w:r>
    </w:p>
    <w:p w14:paraId="789BC005" w14:textId="259EE64F" w:rsidR="00D32E59" w:rsidRPr="00A0773D" w:rsidRDefault="00D32E59" w:rsidP="00D32E59">
      <w:pPr>
        <w:spacing w:after="0" w:line="240" w:lineRule="auto"/>
        <w:jc w:val="both"/>
        <w:rPr>
          <w:rFonts w:ascii="Times New Roman" w:hAnsi="Times New Roman" w:cs="Times New Roman"/>
        </w:rPr>
      </w:pPr>
      <w:r w:rsidRPr="00A0773D">
        <w:rPr>
          <w:rFonts w:ascii="Times New Roman" w:hAnsi="Times New Roman" w:cs="Times New Roman"/>
          <w:sz w:val="24"/>
          <w:szCs w:val="24"/>
        </w:rPr>
        <w:t xml:space="preserve">The data </w:t>
      </w:r>
      <w:r w:rsidR="00AB5D69">
        <w:rPr>
          <w:rFonts w:ascii="Times New Roman" w:hAnsi="Times New Roman" w:cs="Times New Roman"/>
          <w:sz w:val="24"/>
          <w:szCs w:val="24"/>
        </w:rPr>
        <w:t>supporting this study's findings</w:t>
      </w:r>
      <w:r w:rsidRPr="00A0773D">
        <w:rPr>
          <w:rFonts w:ascii="Times New Roman" w:hAnsi="Times New Roman" w:cs="Times New Roman"/>
          <w:sz w:val="24"/>
          <w:szCs w:val="24"/>
        </w:rPr>
        <w:t xml:space="preserve"> are fully available from the corresponding author upon</w:t>
      </w:r>
      <w:r w:rsidR="00A0773D">
        <w:rPr>
          <w:rFonts w:ascii="Times New Roman" w:hAnsi="Times New Roman" w:cs="Times New Roman"/>
          <w:sz w:val="24"/>
          <w:szCs w:val="24"/>
        </w:rPr>
        <w:t xml:space="preserve"> </w:t>
      </w:r>
      <w:r w:rsidRPr="00A0773D">
        <w:rPr>
          <w:rFonts w:ascii="Times New Roman" w:hAnsi="Times New Roman" w:cs="Times New Roman"/>
          <w:sz w:val="24"/>
          <w:szCs w:val="24"/>
        </w:rPr>
        <w:t>reasonable request.</w:t>
      </w:r>
    </w:p>
    <w:p w14:paraId="11386EEE" w14:textId="26DA81D1" w:rsidR="00D32E59" w:rsidRDefault="00D32E59" w:rsidP="00E31239">
      <w:pPr>
        <w:jc w:val="both"/>
      </w:pPr>
    </w:p>
    <w:p w14:paraId="27B30864" w14:textId="4C91ED26" w:rsidR="00372CDC" w:rsidRDefault="00B3108E" w:rsidP="00372CDC">
      <w:pPr>
        <w:pStyle w:val="Heading1"/>
      </w:pPr>
      <w:r>
        <w:lastRenderedPageBreak/>
        <w:t>s</w:t>
      </w:r>
      <w:r w:rsidR="00372CDC">
        <w:t xml:space="preserve"> References</w:t>
      </w:r>
    </w:p>
    <w:p w14:paraId="20BD3FC0" w14:textId="00EF51CD" w:rsidR="00B3108E" w:rsidRPr="00B3108E" w:rsidRDefault="00372CDC"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2CDC">
        <w:rPr>
          <w:rFonts w:ascii="Times New Roman" w:hAnsi="Times New Roman" w:cs="Times New Roman"/>
          <w:sz w:val="24"/>
          <w:szCs w:val="24"/>
        </w:rPr>
        <w:fldChar w:fldCharType="begin" w:fldLock="1"/>
      </w:r>
      <w:r w:rsidRPr="00372CDC">
        <w:rPr>
          <w:rFonts w:ascii="Times New Roman" w:hAnsi="Times New Roman" w:cs="Times New Roman"/>
          <w:sz w:val="24"/>
          <w:szCs w:val="24"/>
        </w:rPr>
        <w:instrText xml:space="preserve">ADDIN Mendeley Bibliography CSL_BIBLIOGRAPHY </w:instrText>
      </w:r>
      <w:r w:rsidRPr="00372CDC">
        <w:rPr>
          <w:rFonts w:ascii="Times New Roman" w:hAnsi="Times New Roman" w:cs="Times New Roman"/>
          <w:sz w:val="24"/>
          <w:szCs w:val="24"/>
        </w:rPr>
        <w:fldChar w:fldCharType="separate"/>
      </w:r>
      <w:r w:rsidR="00B3108E" w:rsidRPr="00B3108E">
        <w:rPr>
          <w:rFonts w:ascii="Times New Roman" w:hAnsi="Times New Roman" w:cs="Times New Roman"/>
          <w:noProof/>
          <w:sz w:val="24"/>
          <w:szCs w:val="24"/>
        </w:rPr>
        <w:t xml:space="preserve">Açikgöz, F., Perez‐Vega, R., Okumuş, F., &amp; Stylos, N. (2023). Consumer Engagement With AI‐powered Voice Assistants: A Behavioral Reasoning Perspective. </w:t>
      </w:r>
      <w:r w:rsidR="00B3108E" w:rsidRPr="00B3108E">
        <w:rPr>
          <w:rFonts w:ascii="Times New Roman" w:hAnsi="Times New Roman" w:cs="Times New Roman"/>
          <w:i/>
          <w:iCs/>
          <w:noProof/>
          <w:sz w:val="24"/>
          <w:szCs w:val="24"/>
        </w:rPr>
        <w:t>Psychology and Marketing</w:t>
      </w:r>
      <w:r w:rsidR="00B3108E" w:rsidRPr="00B3108E">
        <w:rPr>
          <w:rFonts w:ascii="Times New Roman" w:hAnsi="Times New Roman" w:cs="Times New Roman"/>
          <w:noProof/>
          <w:sz w:val="24"/>
          <w:szCs w:val="24"/>
        </w:rPr>
        <w:t>. https://doi.org/10.1002/mar.21873</w:t>
      </w:r>
    </w:p>
    <w:p w14:paraId="17436A8A"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Acikgoz, F., &amp; Vega, R. P. (2022). The Role of Privacy Cynicism in Consumer Habits with Voice Assistants: A Technology Acceptance Model Perspective. </w:t>
      </w:r>
      <w:r w:rsidRPr="00B3108E">
        <w:rPr>
          <w:rFonts w:ascii="Times New Roman" w:hAnsi="Times New Roman" w:cs="Times New Roman"/>
          <w:i/>
          <w:iCs/>
          <w:noProof/>
          <w:sz w:val="24"/>
          <w:szCs w:val="24"/>
        </w:rPr>
        <w:t>International Journal of Human-Computer Interaction</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38</w:t>
      </w:r>
      <w:r w:rsidRPr="00B3108E">
        <w:rPr>
          <w:rFonts w:ascii="Times New Roman" w:hAnsi="Times New Roman" w:cs="Times New Roman"/>
          <w:noProof/>
          <w:sz w:val="24"/>
          <w:szCs w:val="24"/>
        </w:rPr>
        <w:t>(12), 1138–1152. https://doi.org/10.1080/10447318.2021.1987677</w:t>
      </w:r>
    </w:p>
    <w:p w14:paraId="105AF60B"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Ackermann, K. A., Burkhalter, L., Mildenberger, T., Frey, M., &amp; Bearth, A. (2022). Willingness to share data: Contextual determinants of consumers’ decisions to share private data with companies. </w:t>
      </w:r>
      <w:r w:rsidRPr="00B3108E">
        <w:rPr>
          <w:rFonts w:ascii="Times New Roman" w:hAnsi="Times New Roman" w:cs="Times New Roman"/>
          <w:i/>
          <w:iCs/>
          <w:noProof/>
          <w:sz w:val="24"/>
          <w:szCs w:val="24"/>
        </w:rPr>
        <w:t>Journal of Consumer Behaviour</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21</w:t>
      </w:r>
      <w:r w:rsidRPr="00B3108E">
        <w:rPr>
          <w:rFonts w:ascii="Times New Roman" w:hAnsi="Times New Roman" w:cs="Times New Roman"/>
          <w:noProof/>
          <w:sz w:val="24"/>
          <w:szCs w:val="24"/>
        </w:rPr>
        <w:t>(2), 375–386. https://doi.org/10.1002/cb.2012</w:t>
      </w:r>
    </w:p>
    <w:p w14:paraId="0C9DC988"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Agustina, D. (2017). Fitur Social Commerce Dalam Website E-Commerce Di Indonesia. </w:t>
      </w:r>
      <w:r w:rsidRPr="00B3108E">
        <w:rPr>
          <w:rFonts w:ascii="Times New Roman" w:hAnsi="Times New Roman" w:cs="Times New Roman"/>
          <w:i/>
          <w:iCs/>
          <w:noProof/>
          <w:sz w:val="24"/>
          <w:szCs w:val="24"/>
        </w:rPr>
        <w:t>Informatika Mulawarman : Jurnal Ilmiah Ilmu Komputer</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12</w:t>
      </w:r>
      <w:r w:rsidRPr="00B3108E">
        <w:rPr>
          <w:rFonts w:ascii="Times New Roman" w:hAnsi="Times New Roman" w:cs="Times New Roman"/>
          <w:noProof/>
          <w:sz w:val="24"/>
          <w:szCs w:val="24"/>
        </w:rPr>
        <w:t>(1), 25. https://doi.org/10.30872/jim.v12i1.219</w:t>
      </w:r>
    </w:p>
    <w:p w14:paraId="1C492F77"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Asosiasi Penyelenggara Jasa Internet Indonesia. (2020). Laporan Survei Internet APJII 2019 – 2020. </w:t>
      </w:r>
      <w:r w:rsidRPr="00B3108E">
        <w:rPr>
          <w:rFonts w:ascii="Times New Roman" w:hAnsi="Times New Roman" w:cs="Times New Roman"/>
          <w:i/>
          <w:iCs/>
          <w:noProof/>
          <w:sz w:val="24"/>
          <w:szCs w:val="24"/>
        </w:rPr>
        <w:t>Asosiasi Penyelenggara Jasa Internet Indonesia</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2020</w:t>
      </w:r>
      <w:r w:rsidRPr="00B3108E">
        <w:rPr>
          <w:rFonts w:ascii="Times New Roman" w:hAnsi="Times New Roman" w:cs="Times New Roman"/>
          <w:noProof/>
          <w:sz w:val="24"/>
          <w:szCs w:val="24"/>
        </w:rPr>
        <w:t>, 1–146. https://apjii.or.id/survei</w:t>
      </w:r>
    </w:p>
    <w:p w14:paraId="3EAE9F87"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Baruh, L., Secinti, E., &amp; Cemalcilar, Z. (2017). Online Privacy Concerns and Privacy Management: A Meta-Analytical Review. </w:t>
      </w:r>
      <w:r w:rsidRPr="00B3108E">
        <w:rPr>
          <w:rFonts w:ascii="Times New Roman" w:hAnsi="Times New Roman" w:cs="Times New Roman"/>
          <w:i/>
          <w:iCs/>
          <w:noProof/>
          <w:sz w:val="24"/>
          <w:szCs w:val="24"/>
        </w:rPr>
        <w:t>Journal of Communication</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67</w:t>
      </w:r>
      <w:r w:rsidRPr="00B3108E">
        <w:rPr>
          <w:rFonts w:ascii="Times New Roman" w:hAnsi="Times New Roman" w:cs="Times New Roman"/>
          <w:noProof/>
          <w:sz w:val="24"/>
          <w:szCs w:val="24"/>
        </w:rPr>
        <w:t>(1), 26–53. https://doi.org/10.1111/jcom.12276</w:t>
      </w:r>
    </w:p>
    <w:p w14:paraId="4C2AD9D4"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Bhattacherjee, A. (2001). Understanding Information Systems Continuance: An Expectation-Confirmation Model. </w:t>
      </w:r>
      <w:r w:rsidRPr="00B3108E">
        <w:rPr>
          <w:rFonts w:ascii="Times New Roman" w:hAnsi="Times New Roman" w:cs="Times New Roman"/>
          <w:i/>
          <w:iCs/>
          <w:noProof/>
          <w:sz w:val="24"/>
          <w:szCs w:val="24"/>
        </w:rPr>
        <w:t>MIS Quarterly</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25</w:t>
      </w:r>
      <w:r w:rsidRPr="00B3108E">
        <w:rPr>
          <w:rFonts w:ascii="Times New Roman" w:hAnsi="Times New Roman" w:cs="Times New Roman"/>
          <w:noProof/>
          <w:sz w:val="24"/>
          <w:szCs w:val="24"/>
        </w:rPr>
        <w:t>(3), 351. https://doi.org/10.2307/3250921</w:t>
      </w:r>
    </w:p>
    <w:p w14:paraId="22F3876A"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Chakraborty, R., Lee, J., Bagchi-Sen, S., Upadhyaya, S., &amp; Raghav Rao, H. (2016). Online shopping intention in the context of data breach in online retail stores: An examination of older and younger adults. </w:t>
      </w:r>
      <w:r w:rsidRPr="00B3108E">
        <w:rPr>
          <w:rFonts w:ascii="Times New Roman" w:hAnsi="Times New Roman" w:cs="Times New Roman"/>
          <w:i/>
          <w:iCs/>
          <w:noProof/>
          <w:sz w:val="24"/>
          <w:szCs w:val="24"/>
        </w:rPr>
        <w:t>Decision Support Systems</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83</w:t>
      </w:r>
      <w:r w:rsidRPr="00B3108E">
        <w:rPr>
          <w:rFonts w:ascii="Times New Roman" w:hAnsi="Times New Roman" w:cs="Times New Roman"/>
          <w:noProof/>
          <w:sz w:val="24"/>
          <w:szCs w:val="24"/>
        </w:rPr>
        <w:t>, 47–56. https://doi.org/10.1016/j.dss.2015.12.007</w:t>
      </w:r>
    </w:p>
    <w:p w14:paraId="739EA879"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Chawla, N., &amp; Kumar, B. (2022). E-Commerce and Consumer Protection in India: The Emerging Trend. </w:t>
      </w:r>
      <w:r w:rsidRPr="00B3108E">
        <w:rPr>
          <w:rFonts w:ascii="Times New Roman" w:hAnsi="Times New Roman" w:cs="Times New Roman"/>
          <w:i/>
          <w:iCs/>
          <w:noProof/>
          <w:sz w:val="24"/>
          <w:szCs w:val="24"/>
        </w:rPr>
        <w:t>Journal of Business Ethics</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180</w:t>
      </w:r>
      <w:r w:rsidRPr="00B3108E">
        <w:rPr>
          <w:rFonts w:ascii="Times New Roman" w:hAnsi="Times New Roman" w:cs="Times New Roman"/>
          <w:noProof/>
          <w:sz w:val="24"/>
          <w:szCs w:val="24"/>
        </w:rPr>
        <w:t>(2), 581–604. https://doi.org/10.1007/s10551-021-04884-3</w:t>
      </w:r>
    </w:p>
    <w:p w14:paraId="28B2284A"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Chen, R., &amp; Sharma, S. K. (2013). Self-disclosure at social networking sites: An exploration through relational capitals. </w:t>
      </w:r>
      <w:r w:rsidRPr="00B3108E">
        <w:rPr>
          <w:rFonts w:ascii="Times New Roman" w:hAnsi="Times New Roman" w:cs="Times New Roman"/>
          <w:i/>
          <w:iCs/>
          <w:noProof/>
          <w:sz w:val="24"/>
          <w:szCs w:val="24"/>
        </w:rPr>
        <w:t>Information Systems Frontiers</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15</w:t>
      </w:r>
      <w:r w:rsidRPr="00B3108E">
        <w:rPr>
          <w:rFonts w:ascii="Times New Roman" w:hAnsi="Times New Roman" w:cs="Times New Roman"/>
          <w:noProof/>
          <w:sz w:val="24"/>
          <w:szCs w:val="24"/>
        </w:rPr>
        <w:t>(2), 269–278. https://doi.org/10.1007/s10796-011-9335-8</w:t>
      </w:r>
    </w:p>
    <w:p w14:paraId="55C05BF3"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Chin, W. W. (1998). The partial least squares approach for structural equation modeling. In </w:t>
      </w:r>
      <w:r w:rsidRPr="00B3108E">
        <w:rPr>
          <w:rFonts w:ascii="Times New Roman" w:hAnsi="Times New Roman" w:cs="Times New Roman"/>
          <w:i/>
          <w:iCs/>
          <w:noProof/>
          <w:sz w:val="24"/>
          <w:szCs w:val="24"/>
        </w:rPr>
        <w:t>Modern methods for business research.</w:t>
      </w:r>
      <w:r w:rsidRPr="00B3108E">
        <w:rPr>
          <w:rFonts w:ascii="Times New Roman" w:hAnsi="Times New Roman" w:cs="Times New Roman"/>
          <w:noProof/>
          <w:sz w:val="24"/>
          <w:szCs w:val="24"/>
        </w:rPr>
        <w:t xml:space="preserve"> (pp. 295–336). Lawrence Erlbaum Associates Publishers.</w:t>
      </w:r>
    </w:p>
    <w:p w14:paraId="4F94548A"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Choi, H., &amp; Jung, Y. (2020). Online Users’ Cynical Attitudes Towards Privacy Protection : Examining Privacy Cynicism. </w:t>
      </w:r>
      <w:r w:rsidRPr="00B3108E">
        <w:rPr>
          <w:rFonts w:ascii="Times New Roman" w:hAnsi="Times New Roman" w:cs="Times New Roman"/>
          <w:i/>
          <w:iCs/>
          <w:noProof/>
          <w:sz w:val="24"/>
          <w:szCs w:val="24"/>
        </w:rPr>
        <w:t>Asia Pacific Journal of Information Systems</w:t>
      </w:r>
      <w:r w:rsidRPr="00B3108E">
        <w:rPr>
          <w:rFonts w:ascii="Times New Roman" w:hAnsi="Times New Roman" w:cs="Times New Roman"/>
          <w:noProof/>
          <w:sz w:val="24"/>
          <w:szCs w:val="24"/>
        </w:rPr>
        <w:t>. https://doi.org/10.14329/apjis.2020.30.3.547</w:t>
      </w:r>
    </w:p>
    <w:p w14:paraId="087C151E"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Daragmeh, A., Saleem, A., Bárczi, J., &amp; Sági, J. (2022). Drivers of Post-Adoption of E-Wallet Among Academics in Palestine: An Extension of the Expectation Confirmation Model. </w:t>
      </w:r>
      <w:r w:rsidRPr="00B3108E">
        <w:rPr>
          <w:rFonts w:ascii="Times New Roman" w:hAnsi="Times New Roman" w:cs="Times New Roman"/>
          <w:i/>
          <w:iCs/>
          <w:noProof/>
          <w:sz w:val="24"/>
          <w:szCs w:val="24"/>
        </w:rPr>
        <w:t>Frontiers in Psychology</w:t>
      </w:r>
      <w:r w:rsidRPr="00B3108E">
        <w:rPr>
          <w:rFonts w:ascii="Times New Roman" w:hAnsi="Times New Roman" w:cs="Times New Roman"/>
          <w:noProof/>
          <w:sz w:val="24"/>
          <w:szCs w:val="24"/>
        </w:rPr>
        <w:t>. https://doi.org/10.3389/fpsyg.2022.984931</w:t>
      </w:r>
    </w:p>
    <w:p w14:paraId="1B42D15B"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Davis, F. D. (1989). Perceived usefulness, perceived ease of use, and user acceptance of information technology. </w:t>
      </w:r>
      <w:r w:rsidRPr="00B3108E">
        <w:rPr>
          <w:rFonts w:ascii="Times New Roman" w:hAnsi="Times New Roman" w:cs="Times New Roman"/>
          <w:i/>
          <w:iCs/>
          <w:noProof/>
          <w:sz w:val="24"/>
          <w:szCs w:val="24"/>
        </w:rPr>
        <w:t>MIS Quarterly: Management Information Systems</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13</w:t>
      </w:r>
      <w:r w:rsidRPr="00B3108E">
        <w:rPr>
          <w:rFonts w:ascii="Times New Roman" w:hAnsi="Times New Roman" w:cs="Times New Roman"/>
          <w:noProof/>
          <w:sz w:val="24"/>
          <w:szCs w:val="24"/>
        </w:rPr>
        <w:t>(3), 319–339. https://doi.org/10.2307/249008</w:t>
      </w:r>
    </w:p>
    <w:p w14:paraId="6D663F09"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Degutis, M., Urbonavičius, S., Hollebeek, L. D., &amp; Anselmsson, J. (2023). Consumers’ willingness to disclose their personal data in e-commerce: A reciprocity-based social exchange perspective. </w:t>
      </w:r>
      <w:r w:rsidRPr="00B3108E">
        <w:rPr>
          <w:rFonts w:ascii="Times New Roman" w:hAnsi="Times New Roman" w:cs="Times New Roman"/>
          <w:i/>
          <w:iCs/>
          <w:noProof/>
          <w:sz w:val="24"/>
          <w:szCs w:val="24"/>
        </w:rPr>
        <w:t>Journal of Retailing and Consumer Services</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74</w:t>
      </w:r>
      <w:r w:rsidRPr="00B3108E">
        <w:rPr>
          <w:rFonts w:ascii="Times New Roman" w:hAnsi="Times New Roman" w:cs="Times New Roman"/>
          <w:noProof/>
          <w:sz w:val="24"/>
          <w:szCs w:val="24"/>
        </w:rPr>
        <w:t>, 103385. https://doi.org/10.1016/j.jretconser.2023.103385</w:t>
      </w:r>
    </w:p>
    <w:p w14:paraId="068D3834"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lastRenderedPageBreak/>
        <w:t xml:space="preserve">Ghane, S., Fathian, M., &amp; Gholamian, M. R. (2011). Full relationship among e-satisfaction, e-trust, e-service quality, and e-loyalty: The case of Iran e-banking. </w:t>
      </w:r>
      <w:r w:rsidRPr="00B3108E">
        <w:rPr>
          <w:rFonts w:ascii="Times New Roman" w:hAnsi="Times New Roman" w:cs="Times New Roman"/>
          <w:i/>
          <w:iCs/>
          <w:noProof/>
          <w:sz w:val="24"/>
          <w:szCs w:val="24"/>
        </w:rPr>
        <w:t>Journal of Theoretical and Applied Information Technology</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33</w:t>
      </w:r>
      <w:r w:rsidRPr="00B3108E">
        <w:rPr>
          <w:rFonts w:ascii="Times New Roman" w:hAnsi="Times New Roman" w:cs="Times New Roman"/>
          <w:noProof/>
          <w:sz w:val="24"/>
          <w:szCs w:val="24"/>
        </w:rPr>
        <w:t>(1), 1–6.</w:t>
      </w:r>
    </w:p>
    <w:p w14:paraId="72B1E726"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Hair, J. F., Hult, G. T. M., Ringle, C. M., Sarstedt, M., Danks, N. P., &amp; Ray, S. (2021). Partial Least Squares Structural Equation Modeling (PLS-SEM) Using R. In </w:t>
      </w:r>
      <w:r w:rsidRPr="00B3108E">
        <w:rPr>
          <w:rFonts w:ascii="Times New Roman" w:hAnsi="Times New Roman" w:cs="Times New Roman"/>
          <w:i/>
          <w:iCs/>
          <w:noProof/>
          <w:sz w:val="24"/>
          <w:szCs w:val="24"/>
        </w:rPr>
        <w:t>Practical Assessment, Research and Evaluation</w:t>
      </w:r>
      <w:r w:rsidRPr="00B3108E">
        <w:rPr>
          <w:rFonts w:ascii="Times New Roman" w:hAnsi="Times New Roman" w:cs="Times New Roman"/>
          <w:noProof/>
          <w:sz w:val="24"/>
          <w:szCs w:val="24"/>
        </w:rPr>
        <w:t xml:space="preserve"> (Vol. 21, Issue 1). http://www.</w:t>
      </w:r>
    </w:p>
    <w:p w14:paraId="2DFD88DA"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Hair, J. F., Risher, J. J., Sarstedt, M., &amp; Ringle, C. M. (2019). When to use and how to report the results of PLS-SEM. In </w:t>
      </w:r>
      <w:r w:rsidRPr="00B3108E">
        <w:rPr>
          <w:rFonts w:ascii="Times New Roman" w:hAnsi="Times New Roman" w:cs="Times New Roman"/>
          <w:i/>
          <w:iCs/>
          <w:noProof/>
          <w:sz w:val="24"/>
          <w:szCs w:val="24"/>
        </w:rPr>
        <w:t>European Business Review</w:t>
      </w:r>
      <w:r w:rsidRPr="00B3108E">
        <w:rPr>
          <w:rFonts w:ascii="Times New Roman" w:hAnsi="Times New Roman" w:cs="Times New Roman"/>
          <w:noProof/>
          <w:sz w:val="24"/>
          <w:szCs w:val="24"/>
        </w:rPr>
        <w:t xml:space="preserve"> (Vol. 31, Issue 1). https://doi.org/10.1108/EBR-11-2018-0203</w:t>
      </w:r>
    </w:p>
    <w:p w14:paraId="7277EA56"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Henseler, J., Ringle, C. M., &amp; Sarstedt, M. (2015). A new criterion for assessing discriminant validity in variance-based structural equation modeling. </w:t>
      </w:r>
      <w:r w:rsidRPr="00B3108E">
        <w:rPr>
          <w:rFonts w:ascii="Times New Roman" w:hAnsi="Times New Roman" w:cs="Times New Roman"/>
          <w:i/>
          <w:iCs/>
          <w:noProof/>
          <w:sz w:val="24"/>
          <w:szCs w:val="24"/>
        </w:rPr>
        <w:t>Journal of the Academy of Marketing Science</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43</w:t>
      </w:r>
      <w:r w:rsidRPr="00B3108E">
        <w:rPr>
          <w:rFonts w:ascii="Times New Roman" w:hAnsi="Times New Roman" w:cs="Times New Roman"/>
          <w:noProof/>
          <w:sz w:val="24"/>
          <w:szCs w:val="24"/>
        </w:rPr>
        <w:t>(1), 115–135. https://doi.org/10.1007/s11747-014-0403-8</w:t>
      </w:r>
    </w:p>
    <w:p w14:paraId="7D65C898"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Hoffmann, C., Lutz, C., &amp; Ranzini, G. (2016). Privacy Cynicism: A New Approach to the Privacy Paradox. </w:t>
      </w:r>
      <w:r w:rsidRPr="00B3108E">
        <w:rPr>
          <w:rFonts w:ascii="Times New Roman" w:hAnsi="Times New Roman" w:cs="Times New Roman"/>
          <w:i/>
          <w:iCs/>
          <w:noProof/>
          <w:sz w:val="24"/>
          <w:szCs w:val="24"/>
        </w:rPr>
        <w:t>Cyberpsychology Journal of Psychosocial Research on Cyberspace</w:t>
      </w:r>
      <w:r w:rsidRPr="00B3108E">
        <w:rPr>
          <w:rFonts w:ascii="Times New Roman" w:hAnsi="Times New Roman" w:cs="Times New Roman"/>
          <w:noProof/>
          <w:sz w:val="24"/>
          <w:szCs w:val="24"/>
        </w:rPr>
        <w:t>. https://doi.org/10.5817/cp2016-4-7</w:t>
      </w:r>
    </w:p>
    <w:p w14:paraId="44CD6A07"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Hoffmann, C. P., Lutz, C., &amp; Ranzini, G. (2016). Privacy cynicism: A new approach to the privacy paradox. </w:t>
      </w:r>
      <w:r w:rsidRPr="00B3108E">
        <w:rPr>
          <w:rFonts w:ascii="Times New Roman" w:hAnsi="Times New Roman" w:cs="Times New Roman"/>
          <w:i/>
          <w:iCs/>
          <w:noProof/>
          <w:sz w:val="24"/>
          <w:szCs w:val="24"/>
        </w:rPr>
        <w:t>Cyberpsychology</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10</w:t>
      </w:r>
      <w:r w:rsidRPr="00B3108E">
        <w:rPr>
          <w:rFonts w:ascii="Times New Roman" w:hAnsi="Times New Roman" w:cs="Times New Roman"/>
          <w:noProof/>
          <w:sz w:val="24"/>
          <w:szCs w:val="24"/>
        </w:rPr>
        <w:t>(4). https://doi.org/10.5817/CP2016-4-7</w:t>
      </w:r>
    </w:p>
    <w:p w14:paraId="17695D4C"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IISPA, I. I. S. P. A. (2023). </w:t>
      </w:r>
      <w:r w:rsidRPr="00B3108E">
        <w:rPr>
          <w:rFonts w:ascii="Times New Roman" w:hAnsi="Times New Roman" w:cs="Times New Roman"/>
          <w:i/>
          <w:iCs/>
          <w:noProof/>
          <w:sz w:val="24"/>
          <w:szCs w:val="24"/>
        </w:rPr>
        <w:t>Internet Penetration &amp; Behavior Survey 2023</w:t>
      </w:r>
      <w:r w:rsidRPr="00B3108E">
        <w:rPr>
          <w:rFonts w:ascii="Times New Roman" w:hAnsi="Times New Roman" w:cs="Times New Roman"/>
          <w:noProof/>
          <w:sz w:val="24"/>
          <w:szCs w:val="24"/>
        </w:rPr>
        <w:t xml:space="preserve"> (Issue April).</w:t>
      </w:r>
    </w:p>
    <w:p w14:paraId="402CDC6A"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Khan, M. I., Loh, J. (M I. )., Hossain, A., &amp; Hasan Talukder, M. J. (2023). Cynicism as strength: Privacy cynicism, satisfaction and trust among social media users. </w:t>
      </w:r>
      <w:r w:rsidRPr="00B3108E">
        <w:rPr>
          <w:rFonts w:ascii="Times New Roman" w:hAnsi="Times New Roman" w:cs="Times New Roman"/>
          <w:i/>
          <w:iCs/>
          <w:noProof/>
          <w:sz w:val="24"/>
          <w:szCs w:val="24"/>
        </w:rPr>
        <w:t>Computers in Human Behavior</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142</w:t>
      </w:r>
      <w:r w:rsidRPr="00B3108E">
        <w:rPr>
          <w:rFonts w:ascii="Times New Roman" w:hAnsi="Times New Roman" w:cs="Times New Roman"/>
          <w:noProof/>
          <w:sz w:val="24"/>
          <w:szCs w:val="24"/>
        </w:rPr>
        <w:t>(December 2022), 107638. https://doi.org/10.1016/j.chb.2022.107638</w:t>
      </w:r>
    </w:p>
    <w:p w14:paraId="1410A401"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Khan, M. I., Loh, J., Hossain, A., &amp; Talukder, M. J. H. (2023). Cynicism as Strength: Privacy Cynicism, Satisfaction and Trust Among Social Media Users. </w:t>
      </w:r>
      <w:r w:rsidRPr="00B3108E">
        <w:rPr>
          <w:rFonts w:ascii="Times New Roman" w:hAnsi="Times New Roman" w:cs="Times New Roman"/>
          <w:i/>
          <w:iCs/>
          <w:noProof/>
          <w:sz w:val="24"/>
          <w:szCs w:val="24"/>
        </w:rPr>
        <w:t>Computers in Human Behavior</w:t>
      </w:r>
      <w:r w:rsidRPr="00B3108E">
        <w:rPr>
          <w:rFonts w:ascii="Times New Roman" w:hAnsi="Times New Roman" w:cs="Times New Roman"/>
          <w:noProof/>
          <w:sz w:val="24"/>
          <w:szCs w:val="24"/>
        </w:rPr>
        <w:t>. https://doi.org/10.1016/j.chb.2022.107638</w:t>
      </w:r>
    </w:p>
    <w:p w14:paraId="5D707781"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Komalawati, D., Dewi R, M. M., K, R. D., &amp; P, A. K. (2020). The Shock Of Tens Billion Tokopedia In The Middle Of Data Leaking Cases`. </w:t>
      </w:r>
      <w:r w:rsidRPr="00B3108E">
        <w:rPr>
          <w:rFonts w:ascii="Times New Roman" w:hAnsi="Times New Roman" w:cs="Times New Roman"/>
          <w:i/>
          <w:iCs/>
          <w:noProof/>
          <w:sz w:val="24"/>
          <w:szCs w:val="24"/>
        </w:rPr>
        <w:t>Medio</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2</w:t>
      </w:r>
      <w:r w:rsidRPr="00B3108E">
        <w:rPr>
          <w:rFonts w:ascii="Times New Roman" w:hAnsi="Times New Roman" w:cs="Times New Roman"/>
          <w:noProof/>
          <w:sz w:val="24"/>
          <w:szCs w:val="24"/>
        </w:rPr>
        <w:t>(2), 114–122.</w:t>
      </w:r>
    </w:p>
    <w:p w14:paraId="3EA57218"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Kumar, K., &amp; Natarajan, S. (2020). An Extension of the Expectation Confirmation Model (ECM) to Study Continuance Behavior in Using E-Health Services. </w:t>
      </w:r>
      <w:r w:rsidRPr="00B3108E">
        <w:rPr>
          <w:rFonts w:ascii="Times New Roman" w:hAnsi="Times New Roman" w:cs="Times New Roman"/>
          <w:i/>
          <w:iCs/>
          <w:noProof/>
          <w:sz w:val="24"/>
          <w:szCs w:val="24"/>
        </w:rPr>
        <w:t>Innovative Marketing</w:t>
      </w:r>
      <w:r w:rsidRPr="00B3108E">
        <w:rPr>
          <w:rFonts w:ascii="Times New Roman" w:hAnsi="Times New Roman" w:cs="Times New Roman"/>
          <w:noProof/>
          <w:sz w:val="24"/>
          <w:szCs w:val="24"/>
        </w:rPr>
        <w:t>. https://doi.org/10.21511/im.16(2).2020.02</w:t>
      </w:r>
    </w:p>
    <w:p w14:paraId="6C16E193"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Kurniadi, H., &amp; Ali Saeed Rana, J. (2023). The power of trust: How does consumer trust impact satisfaction and loyalty in Indonesian digital business? </w:t>
      </w:r>
      <w:r w:rsidRPr="00B3108E">
        <w:rPr>
          <w:rFonts w:ascii="Times New Roman" w:hAnsi="Times New Roman" w:cs="Times New Roman"/>
          <w:i/>
          <w:iCs/>
          <w:noProof/>
          <w:sz w:val="24"/>
          <w:szCs w:val="24"/>
        </w:rPr>
        <w:t>Innovative Marketing</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19</w:t>
      </w:r>
      <w:r w:rsidRPr="00B3108E">
        <w:rPr>
          <w:rFonts w:ascii="Times New Roman" w:hAnsi="Times New Roman" w:cs="Times New Roman"/>
          <w:noProof/>
          <w:sz w:val="24"/>
          <w:szCs w:val="24"/>
        </w:rPr>
        <w:t>(2), 236–249. https://doi.org/10.21511/im.19(2).2023.19</w:t>
      </w:r>
    </w:p>
    <w:p w14:paraId="44D8C2F5"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Li, F., &amp; Liu, Q. (2019). Mobile SNS Addiction and User Continuance: An Empirical Investigation of WeChat. </w:t>
      </w:r>
      <w:r w:rsidRPr="00B3108E">
        <w:rPr>
          <w:rFonts w:ascii="Times New Roman" w:hAnsi="Times New Roman" w:cs="Times New Roman"/>
          <w:i/>
          <w:iCs/>
          <w:noProof/>
          <w:sz w:val="24"/>
          <w:szCs w:val="24"/>
        </w:rPr>
        <w:t>Tehnicki Vjesnik - Technical Gazette</w:t>
      </w:r>
      <w:r w:rsidRPr="00B3108E">
        <w:rPr>
          <w:rFonts w:ascii="Times New Roman" w:hAnsi="Times New Roman" w:cs="Times New Roman"/>
          <w:noProof/>
          <w:sz w:val="24"/>
          <w:szCs w:val="24"/>
        </w:rPr>
        <w:t>. https://doi.org/10.17559/tv-20190315145418</w:t>
      </w:r>
    </w:p>
    <w:p w14:paraId="4ABC02E6"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Li, L., Wang, Q., &amp; Li, J. (2022). Examining Continuance Intention of Online Learning During COVID-19 Pandemic: Incorporating the Theory of Planned Behavior Into the Expectation–confirmation Model. </w:t>
      </w:r>
      <w:r w:rsidRPr="00B3108E">
        <w:rPr>
          <w:rFonts w:ascii="Times New Roman" w:hAnsi="Times New Roman" w:cs="Times New Roman"/>
          <w:i/>
          <w:iCs/>
          <w:noProof/>
          <w:sz w:val="24"/>
          <w:szCs w:val="24"/>
        </w:rPr>
        <w:t>Frontiers in Psychology</w:t>
      </w:r>
      <w:r w:rsidRPr="00B3108E">
        <w:rPr>
          <w:rFonts w:ascii="Times New Roman" w:hAnsi="Times New Roman" w:cs="Times New Roman"/>
          <w:noProof/>
          <w:sz w:val="24"/>
          <w:szCs w:val="24"/>
        </w:rPr>
        <w:t>. https://doi.org/10.3389/fpsyg.2022.1046407</w:t>
      </w:r>
    </w:p>
    <w:p w14:paraId="29C81FDA"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Lutz, C., Hoffmann, C., &amp; Ranzini, G. (2020). Data Capitalism and the User: An Exploration of Privacy Cynicism in Germany. </w:t>
      </w:r>
      <w:r w:rsidRPr="00B3108E">
        <w:rPr>
          <w:rFonts w:ascii="Times New Roman" w:hAnsi="Times New Roman" w:cs="Times New Roman"/>
          <w:i/>
          <w:iCs/>
          <w:noProof/>
          <w:sz w:val="24"/>
          <w:szCs w:val="24"/>
        </w:rPr>
        <w:t>New Media &amp;Amp; Society</w:t>
      </w:r>
      <w:r w:rsidRPr="00B3108E">
        <w:rPr>
          <w:rFonts w:ascii="Times New Roman" w:hAnsi="Times New Roman" w:cs="Times New Roman"/>
          <w:noProof/>
          <w:sz w:val="24"/>
          <w:szCs w:val="24"/>
        </w:rPr>
        <w:t>. https://doi.org/10.1177/1461444820912544</w:t>
      </w:r>
    </w:p>
    <w:p w14:paraId="7D7AB00E"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Lynn, P. (2008). The Problem of Nonresponse. In </w:t>
      </w:r>
      <w:r w:rsidRPr="00B3108E">
        <w:rPr>
          <w:rFonts w:ascii="Times New Roman" w:hAnsi="Times New Roman" w:cs="Times New Roman"/>
          <w:i/>
          <w:iCs/>
          <w:noProof/>
          <w:sz w:val="24"/>
          <w:szCs w:val="24"/>
        </w:rPr>
        <w:t>International Handbook of Survey Methodology</w:t>
      </w:r>
      <w:r w:rsidRPr="00B3108E">
        <w:rPr>
          <w:rFonts w:ascii="Times New Roman" w:hAnsi="Times New Roman" w:cs="Times New Roman"/>
          <w:noProof/>
          <w:sz w:val="24"/>
          <w:szCs w:val="24"/>
        </w:rPr>
        <w:t>. Routledge. https://doi.org/10.4324/9780203843123.ch3</w:t>
      </w:r>
    </w:p>
    <w:p w14:paraId="66C0FC53"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Lyu, T., Guo, Y., &amp; Chen, H. (2023). Understanding People’s Intention to Use Facial Recognition Services: The Roles of Network Externality and Privacy Cynicism. </w:t>
      </w:r>
      <w:r w:rsidRPr="00B3108E">
        <w:rPr>
          <w:rFonts w:ascii="Times New Roman" w:hAnsi="Times New Roman" w:cs="Times New Roman"/>
          <w:i/>
          <w:iCs/>
          <w:noProof/>
          <w:sz w:val="24"/>
          <w:szCs w:val="24"/>
        </w:rPr>
        <w:t>Information Technology and People</w:t>
      </w:r>
      <w:r w:rsidRPr="00B3108E">
        <w:rPr>
          <w:rFonts w:ascii="Times New Roman" w:hAnsi="Times New Roman" w:cs="Times New Roman"/>
          <w:noProof/>
          <w:sz w:val="24"/>
          <w:szCs w:val="24"/>
        </w:rPr>
        <w:t>. https://doi.org/10.1108/itp-10-2021-0817</w:t>
      </w:r>
    </w:p>
    <w:p w14:paraId="149CE415"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Nguyen, G.-D., &amp; Ha, M. T. (2021). The Role of User Adaptation and Trust in Understanding Continuance Intention Towards Mobile Shopping: An Extended Expectation-Confirmation Model. </w:t>
      </w:r>
      <w:r w:rsidRPr="00B3108E">
        <w:rPr>
          <w:rFonts w:ascii="Times New Roman" w:hAnsi="Times New Roman" w:cs="Times New Roman"/>
          <w:i/>
          <w:iCs/>
          <w:noProof/>
          <w:sz w:val="24"/>
          <w:szCs w:val="24"/>
        </w:rPr>
        <w:t>Cogent Business &amp;Amp; Management</w:t>
      </w:r>
      <w:r w:rsidRPr="00B3108E">
        <w:rPr>
          <w:rFonts w:ascii="Times New Roman" w:hAnsi="Times New Roman" w:cs="Times New Roman"/>
          <w:noProof/>
          <w:sz w:val="24"/>
          <w:szCs w:val="24"/>
        </w:rPr>
        <w:t xml:space="preserve">. </w:t>
      </w:r>
      <w:r w:rsidRPr="00B3108E">
        <w:rPr>
          <w:rFonts w:ascii="Times New Roman" w:hAnsi="Times New Roman" w:cs="Times New Roman"/>
          <w:noProof/>
          <w:sz w:val="24"/>
          <w:szCs w:val="24"/>
        </w:rPr>
        <w:lastRenderedPageBreak/>
        <w:t>https://doi.org/10.1080/23311975.2021.1980248</w:t>
      </w:r>
    </w:p>
    <w:p w14:paraId="61E6AAA1"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Nissenbaum, H. (2011). Privacy in Context: Technology, Policy, and the Integrity of Social Life. In </w:t>
      </w:r>
      <w:r w:rsidRPr="00B3108E">
        <w:rPr>
          <w:rFonts w:ascii="Times New Roman" w:hAnsi="Times New Roman" w:cs="Times New Roman"/>
          <w:i/>
          <w:iCs/>
          <w:noProof/>
          <w:sz w:val="24"/>
          <w:szCs w:val="24"/>
        </w:rPr>
        <w:t>Stanford University Press</w:t>
      </w:r>
      <w:r w:rsidRPr="00B3108E">
        <w:rPr>
          <w:rFonts w:ascii="Times New Roman" w:hAnsi="Times New Roman" w:cs="Times New Roman"/>
          <w:noProof/>
          <w:sz w:val="24"/>
          <w:szCs w:val="24"/>
        </w:rPr>
        <w:t xml:space="preserve"> (Vol. 1). https://doi.org/10.5325/jinfopoli.1.2011.0149</w:t>
      </w:r>
    </w:p>
    <w:p w14:paraId="692CDABF"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Noraga, D., Batu, L., &amp; Alversia, Y. (2021). </w:t>
      </w:r>
      <w:r w:rsidRPr="00B3108E">
        <w:rPr>
          <w:rFonts w:ascii="Times New Roman" w:hAnsi="Times New Roman" w:cs="Times New Roman"/>
          <w:i/>
          <w:iCs/>
          <w:noProof/>
          <w:sz w:val="24"/>
          <w:szCs w:val="24"/>
        </w:rPr>
        <w:t>UTAUT2 Analysis on the Use of On-Demand Services Application with Perceived Privacy as Moderating Effect</w:t>
      </w:r>
      <w:r w:rsidRPr="00B3108E">
        <w:rPr>
          <w:rFonts w:ascii="Times New Roman" w:hAnsi="Times New Roman" w:cs="Times New Roman"/>
          <w:noProof/>
          <w:sz w:val="24"/>
          <w:szCs w:val="24"/>
        </w:rPr>
        <w:t>.</w:t>
      </w:r>
    </w:p>
    <w:p w14:paraId="78D0BFAE"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Ooijen, I. van, Segijn, C. M., &amp; Opree, S. J. (2022). Privacy Cynicism and Its Role in Privacy Decision-Making. </w:t>
      </w:r>
      <w:r w:rsidRPr="00B3108E">
        <w:rPr>
          <w:rFonts w:ascii="Times New Roman" w:hAnsi="Times New Roman" w:cs="Times New Roman"/>
          <w:i/>
          <w:iCs/>
          <w:noProof/>
          <w:sz w:val="24"/>
          <w:szCs w:val="24"/>
        </w:rPr>
        <w:t>Communication Research</w:t>
      </w:r>
      <w:r w:rsidRPr="00B3108E">
        <w:rPr>
          <w:rFonts w:ascii="Times New Roman" w:hAnsi="Times New Roman" w:cs="Times New Roman"/>
          <w:noProof/>
          <w:sz w:val="24"/>
          <w:szCs w:val="24"/>
        </w:rPr>
        <w:t>. https://doi.org/10.1177/00936502211060984</w:t>
      </w:r>
    </w:p>
    <w:p w14:paraId="7B565E6F"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Othman, R., Rahim, K. F., Kamarulzaman, R. A. binti, Amat, D. W., &amp; Sham, R. (2019). Literature Review on Internet Benefits, Risks and Issues: A Case Study for Cyber Parenting in Malaysia. </w:t>
      </w:r>
      <w:r w:rsidRPr="00B3108E">
        <w:rPr>
          <w:rFonts w:ascii="Times New Roman" w:hAnsi="Times New Roman" w:cs="Times New Roman"/>
          <w:i/>
          <w:iCs/>
          <w:noProof/>
          <w:sz w:val="24"/>
          <w:szCs w:val="24"/>
        </w:rPr>
        <w:t>Malaysian E Commerce Journal</w:t>
      </w:r>
      <w:r w:rsidRPr="00B3108E">
        <w:rPr>
          <w:rFonts w:ascii="Times New Roman" w:hAnsi="Times New Roman" w:cs="Times New Roman"/>
          <w:noProof/>
          <w:sz w:val="24"/>
          <w:szCs w:val="24"/>
        </w:rPr>
        <w:t>. https://doi.org/10.26480/mecj.02.2019.12.14</w:t>
      </w:r>
    </w:p>
    <w:p w14:paraId="3B71BBA4"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Perkasa, J., &amp; Saly, J. N. (2022). Legal Liability of Marketplace Companies Against Leaking of User Data Due to Third Party Breaking According to Law Number 8 of 1999 Concerning Consumer Protection (Case Example: Tokopedia User Data Leaking in 2020). </w:t>
      </w:r>
      <w:r w:rsidRPr="00B3108E">
        <w:rPr>
          <w:rFonts w:ascii="Times New Roman" w:hAnsi="Times New Roman" w:cs="Times New Roman"/>
          <w:i/>
          <w:iCs/>
          <w:noProof/>
          <w:sz w:val="24"/>
          <w:szCs w:val="24"/>
        </w:rPr>
        <w:t>Proceedings of the 3rd Tarumanagara International Conference on the Applications of Social Sciences and Humanities (TICASH 2021)</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655</w:t>
      </w:r>
      <w:r w:rsidRPr="00B3108E">
        <w:rPr>
          <w:rFonts w:ascii="Times New Roman" w:hAnsi="Times New Roman" w:cs="Times New Roman"/>
          <w:noProof/>
          <w:sz w:val="24"/>
          <w:szCs w:val="24"/>
        </w:rPr>
        <w:t>(8), 606–614. https://doi.org/10.2991/assehr.k.220404.096</w:t>
      </w:r>
    </w:p>
    <w:p w14:paraId="15384B09"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Podsakoff, P. M., MacKenzie, S. B., Lee, J.-Y., &amp; Podsakoff, N. P. (2003). Common method biases in behavioral research: A critical review of the literature and recommended remedies. </w:t>
      </w:r>
      <w:r w:rsidRPr="00B3108E">
        <w:rPr>
          <w:rFonts w:ascii="Times New Roman" w:hAnsi="Times New Roman" w:cs="Times New Roman"/>
          <w:i/>
          <w:iCs/>
          <w:noProof/>
          <w:sz w:val="24"/>
          <w:szCs w:val="24"/>
        </w:rPr>
        <w:t>Journal of Applied Psychology</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88</w:t>
      </w:r>
      <w:r w:rsidRPr="00B3108E">
        <w:rPr>
          <w:rFonts w:ascii="Times New Roman" w:hAnsi="Times New Roman" w:cs="Times New Roman"/>
          <w:noProof/>
          <w:sz w:val="24"/>
          <w:szCs w:val="24"/>
        </w:rPr>
        <w:t>(5), 879–903. https://doi.org/10.1037/0021-9010.88.5.879</w:t>
      </w:r>
    </w:p>
    <w:p w14:paraId="2BA3648C"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Rajaobelina, L., Tep, S. P., Arcand, M., &amp; Ricard, L. (2021). Creepiness: Its Antecedents and Impact on Loyalty When Interacting With a Chatbot. </w:t>
      </w:r>
      <w:r w:rsidRPr="00B3108E">
        <w:rPr>
          <w:rFonts w:ascii="Times New Roman" w:hAnsi="Times New Roman" w:cs="Times New Roman"/>
          <w:i/>
          <w:iCs/>
          <w:noProof/>
          <w:sz w:val="24"/>
          <w:szCs w:val="24"/>
        </w:rPr>
        <w:t>Psychology and Marketing</w:t>
      </w:r>
      <w:r w:rsidRPr="00B3108E">
        <w:rPr>
          <w:rFonts w:ascii="Times New Roman" w:hAnsi="Times New Roman" w:cs="Times New Roman"/>
          <w:noProof/>
          <w:sz w:val="24"/>
          <w:szCs w:val="24"/>
        </w:rPr>
        <w:t>. https://doi.org/10.1002/mar.21548</w:t>
      </w:r>
    </w:p>
    <w:p w14:paraId="36552541"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Reio, T. G. (2010). The Threat of Common Method Variance Bias to Theory Building. </w:t>
      </w:r>
      <w:r w:rsidRPr="00B3108E">
        <w:rPr>
          <w:rFonts w:ascii="Times New Roman" w:hAnsi="Times New Roman" w:cs="Times New Roman"/>
          <w:i/>
          <w:iCs/>
          <w:noProof/>
          <w:sz w:val="24"/>
          <w:szCs w:val="24"/>
        </w:rPr>
        <w:t>Human Resource Development Review</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9</w:t>
      </w:r>
      <w:r w:rsidRPr="00B3108E">
        <w:rPr>
          <w:rFonts w:ascii="Times New Roman" w:hAnsi="Times New Roman" w:cs="Times New Roman"/>
          <w:noProof/>
          <w:sz w:val="24"/>
          <w:szCs w:val="24"/>
        </w:rPr>
        <w:t>(4), 405–411. https://doi.org/10.1177/1534484310380331</w:t>
      </w:r>
    </w:p>
    <w:p w14:paraId="7B82F2A5"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Rice, B. L., Golden, C. D., Randriamady, H. J., Arisco, N. J., &amp; Hartl, D. L. (2018). Integrating Approaches to Study Land Use Change and Hotspots of Malaria Transmission in Rural Madagascar: An Observational Study. </w:t>
      </w:r>
      <w:r w:rsidRPr="00B3108E">
        <w:rPr>
          <w:rFonts w:ascii="Times New Roman" w:hAnsi="Times New Roman" w:cs="Times New Roman"/>
          <w:i/>
          <w:iCs/>
          <w:noProof/>
          <w:sz w:val="24"/>
          <w:szCs w:val="24"/>
        </w:rPr>
        <w:t>The Lancet Planetary Health</w:t>
      </w:r>
      <w:r w:rsidRPr="00B3108E">
        <w:rPr>
          <w:rFonts w:ascii="Times New Roman" w:hAnsi="Times New Roman" w:cs="Times New Roman"/>
          <w:noProof/>
          <w:sz w:val="24"/>
          <w:szCs w:val="24"/>
        </w:rPr>
        <w:t>. https://doi.org/10.1016/s2542-5196(18)30104-9</w:t>
      </w:r>
    </w:p>
    <w:p w14:paraId="69A3A172"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Rolph, E. A., &amp; Srinivasan, S. S. (2003). E‐satisfaction and e‐loyalty: A contingency framework. </w:t>
      </w:r>
      <w:r w:rsidRPr="00B3108E">
        <w:rPr>
          <w:rFonts w:ascii="Times New Roman" w:hAnsi="Times New Roman" w:cs="Times New Roman"/>
          <w:i/>
          <w:iCs/>
          <w:noProof/>
          <w:sz w:val="24"/>
          <w:szCs w:val="24"/>
        </w:rPr>
        <w:t>Psychology &amp; Marketing</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20</w:t>
      </w:r>
      <w:r w:rsidRPr="00B3108E">
        <w:rPr>
          <w:rFonts w:ascii="Times New Roman" w:hAnsi="Times New Roman" w:cs="Times New Roman"/>
          <w:noProof/>
          <w:sz w:val="24"/>
          <w:szCs w:val="24"/>
        </w:rPr>
        <w:t>(2), 123–138. https://doi.org/10.1002/mar.10063</w:t>
      </w:r>
    </w:p>
    <w:p w14:paraId="457575D8"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Sarstedt, M., Hair, J. F., Nitzl, C., Ringle, C. M., &amp; Howard, M. C. (2020). Beyond a tandem analysis of SEM and PROCESS: Use of PLS-SEM for mediation analyses! </w:t>
      </w:r>
      <w:r w:rsidRPr="00B3108E">
        <w:rPr>
          <w:rFonts w:ascii="Times New Roman" w:hAnsi="Times New Roman" w:cs="Times New Roman"/>
          <w:i/>
          <w:iCs/>
          <w:noProof/>
          <w:sz w:val="24"/>
          <w:szCs w:val="24"/>
        </w:rPr>
        <w:t>International Journal of Market Research</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62</w:t>
      </w:r>
      <w:r w:rsidRPr="00B3108E">
        <w:rPr>
          <w:rFonts w:ascii="Times New Roman" w:hAnsi="Times New Roman" w:cs="Times New Roman"/>
          <w:noProof/>
          <w:sz w:val="24"/>
          <w:szCs w:val="24"/>
        </w:rPr>
        <w:t>(3). https://doi.org/10.1177/1470785320915686</w:t>
      </w:r>
    </w:p>
    <w:p w14:paraId="4636BABB"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Sativa, A., &amp; Astuti, S. R. T. (2016). Analisis Pengaruh E-Trust Dan E-Service Quality Terhadap E-Loyalty Dengan E-Satisfaction Sebagai Variabel Intervening (Studi pada Pengguna E-Commerce C2C Tokopedia). In </w:t>
      </w:r>
      <w:r w:rsidRPr="00B3108E">
        <w:rPr>
          <w:rFonts w:ascii="Times New Roman" w:hAnsi="Times New Roman" w:cs="Times New Roman"/>
          <w:i/>
          <w:iCs/>
          <w:noProof/>
          <w:sz w:val="24"/>
          <w:szCs w:val="24"/>
        </w:rPr>
        <w:t>Diponegoro Journal of Management</w:t>
      </w:r>
      <w:r w:rsidRPr="00B3108E">
        <w:rPr>
          <w:rFonts w:ascii="Times New Roman" w:hAnsi="Times New Roman" w:cs="Times New Roman"/>
          <w:noProof/>
          <w:sz w:val="24"/>
          <w:szCs w:val="24"/>
        </w:rPr>
        <w:t xml:space="preserve"> (Vol. 5, Issue 3).</w:t>
      </w:r>
    </w:p>
    <w:p w14:paraId="3CA67AEA"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Schermelleh-Engel, K., Moosbrugger, H., &amp; Müller, H. (2003). Evaluating the Fit of Structural Equation Models: Tests of Significance and Descriptive Goodness-of-Fit Measures. </w:t>
      </w:r>
      <w:r w:rsidRPr="00B3108E">
        <w:rPr>
          <w:rFonts w:ascii="Times New Roman" w:hAnsi="Times New Roman" w:cs="Times New Roman"/>
          <w:i/>
          <w:iCs/>
          <w:noProof/>
          <w:sz w:val="24"/>
          <w:szCs w:val="24"/>
        </w:rPr>
        <w:t>Methods of Psychological Research Online</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8</w:t>
      </w:r>
      <w:r w:rsidRPr="00B3108E">
        <w:rPr>
          <w:rFonts w:ascii="Times New Roman" w:hAnsi="Times New Roman" w:cs="Times New Roman"/>
          <w:noProof/>
          <w:sz w:val="24"/>
          <w:szCs w:val="24"/>
        </w:rPr>
        <w:t>, 23–74.</w:t>
      </w:r>
    </w:p>
    <w:p w14:paraId="59C63AD3"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Setyaningsih, O. (2014). Pengaruh Persepsi Kualitas Pelayanan E-Commerce Terhadap Kepuasan Pelanggan, Kepercayaan dan Loyalitas pada Produk Fashion. </w:t>
      </w:r>
      <w:r w:rsidRPr="00B3108E">
        <w:rPr>
          <w:rFonts w:ascii="Times New Roman" w:hAnsi="Times New Roman" w:cs="Times New Roman"/>
          <w:i/>
          <w:iCs/>
          <w:noProof/>
          <w:sz w:val="24"/>
          <w:szCs w:val="24"/>
        </w:rPr>
        <w:t>Jurnal Bisnis &amp; Manajemen</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14</w:t>
      </w:r>
      <w:r w:rsidRPr="00B3108E">
        <w:rPr>
          <w:rFonts w:ascii="Times New Roman" w:hAnsi="Times New Roman" w:cs="Times New Roman"/>
          <w:noProof/>
          <w:sz w:val="24"/>
          <w:szCs w:val="24"/>
        </w:rPr>
        <w:t>(1), 67–80.</w:t>
      </w:r>
    </w:p>
    <w:p w14:paraId="24CB85FF"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Sharma, G., &amp; Lijuan, W. (2014). Ethical perspectives on e-commerce: An empirical investigation. </w:t>
      </w:r>
      <w:r w:rsidRPr="00B3108E">
        <w:rPr>
          <w:rFonts w:ascii="Times New Roman" w:hAnsi="Times New Roman" w:cs="Times New Roman"/>
          <w:i/>
          <w:iCs/>
          <w:noProof/>
          <w:sz w:val="24"/>
          <w:szCs w:val="24"/>
        </w:rPr>
        <w:t>Internet Research</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24</w:t>
      </w:r>
      <w:r w:rsidRPr="00B3108E">
        <w:rPr>
          <w:rFonts w:ascii="Times New Roman" w:hAnsi="Times New Roman" w:cs="Times New Roman"/>
          <w:noProof/>
          <w:sz w:val="24"/>
          <w:szCs w:val="24"/>
        </w:rPr>
        <w:t>(4), 414–435. https://doi.org/10.1108/IntR-07-2013-0162</w:t>
      </w:r>
    </w:p>
    <w:p w14:paraId="2EE05D35"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lastRenderedPageBreak/>
        <w:t xml:space="preserve">Tanjung, R., Rakeyan, S., &amp; Karawang, S. (2022). The Relationship between Customer Value and Trust in Consumer Satisfaction and its Impact on Consumer Loyalty. </w:t>
      </w:r>
      <w:r w:rsidRPr="00B3108E">
        <w:rPr>
          <w:rFonts w:ascii="Times New Roman" w:hAnsi="Times New Roman" w:cs="Times New Roman"/>
          <w:i/>
          <w:iCs/>
          <w:noProof/>
          <w:sz w:val="24"/>
          <w:szCs w:val="24"/>
        </w:rPr>
        <w:t>International Journal Of Science Education and Technology Management Pages</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1</w:t>
      </w:r>
      <w:r w:rsidRPr="00B3108E">
        <w:rPr>
          <w:rFonts w:ascii="Times New Roman" w:hAnsi="Times New Roman" w:cs="Times New Roman"/>
          <w:noProof/>
          <w:sz w:val="24"/>
          <w:szCs w:val="24"/>
        </w:rPr>
        <w:t>(1), 59–69. https://ijsetm.my.id</w:t>
      </w:r>
    </w:p>
    <w:p w14:paraId="70647E5C"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van Schaik, P., Jansen, J., Onibokun, J., Camp, J., &amp; Kusev, P. (2018). Security and privacy in online social networking: Risk perceptions and precautionary behaviour. </w:t>
      </w:r>
      <w:r w:rsidRPr="00B3108E">
        <w:rPr>
          <w:rFonts w:ascii="Times New Roman" w:hAnsi="Times New Roman" w:cs="Times New Roman"/>
          <w:i/>
          <w:iCs/>
          <w:noProof/>
          <w:sz w:val="24"/>
          <w:szCs w:val="24"/>
        </w:rPr>
        <w:t>Computers in Human Behavior</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78</w:t>
      </w:r>
      <w:r w:rsidRPr="00B3108E">
        <w:rPr>
          <w:rFonts w:ascii="Times New Roman" w:hAnsi="Times New Roman" w:cs="Times New Roman"/>
          <w:noProof/>
          <w:sz w:val="24"/>
          <w:szCs w:val="24"/>
        </w:rPr>
        <w:t>, 283–297. https://doi.org/10.1016/j.chb.2017.10.007</w:t>
      </w:r>
    </w:p>
    <w:p w14:paraId="5A5093E5"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Westland, J. C. (2014). Sample Calibration in Likert-Metric Survey Data. </w:t>
      </w:r>
      <w:r w:rsidRPr="00B3108E">
        <w:rPr>
          <w:rFonts w:ascii="Times New Roman" w:hAnsi="Times New Roman" w:cs="Times New Roman"/>
          <w:i/>
          <w:iCs/>
          <w:noProof/>
          <w:sz w:val="24"/>
          <w:szCs w:val="24"/>
        </w:rPr>
        <w:t>SSRN Electronic Journal</w:t>
      </w:r>
      <w:r w:rsidRPr="00B3108E">
        <w:rPr>
          <w:rFonts w:ascii="Times New Roman" w:hAnsi="Times New Roman" w:cs="Times New Roman"/>
          <w:noProof/>
          <w:sz w:val="24"/>
          <w:szCs w:val="24"/>
        </w:rPr>
        <w:t>. https://doi.org/10.2139/ssrn.2489010</w:t>
      </w:r>
    </w:p>
    <w:p w14:paraId="6046976C" w14:textId="77777777"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3108E">
        <w:rPr>
          <w:rFonts w:ascii="Times New Roman" w:hAnsi="Times New Roman" w:cs="Times New Roman"/>
          <w:noProof/>
          <w:sz w:val="24"/>
          <w:szCs w:val="24"/>
        </w:rPr>
        <w:t xml:space="preserve">Yussif, A.-M., Belko, S., &amp; Oavare, O. P. (2022). CSR as an Elixir for Enhanced Corporate Image: Experiences From the University for Development Studies, Tamale and  C.K. Tedam University of Technology and Applied  Sciences, Navrongo, Ghana. </w:t>
      </w:r>
      <w:r w:rsidRPr="00B3108E">
        <w:rPr>
          <w:rFonts w:ascii="Times New Roman" w:hAnsi="Times New Roman" w:cs="Times New Roman"/>
          <w:i/>
          <w:iCs/>
          <w:noProof/>
          <w:sz w:val="24"/>
          <w:szCs w:val="24"/>
        </w:rPr>
        <w:t>The International Journal of Humanities &amp;Amp; Social Studies</w:t>
      </w:r>
      <w:r w:rsidRPr="00B3108E">
        <w:rPr>
          <w:rFonts w:ascii="Times New Roman" w:hAnsi="Times New Roman" w:cs="Times New Roman"/>
          <w:noProof/>
          <w:sz w:val="24"/>
          <w:szCs w:val="24"/>
        </w:rPr>
        <w:t>. https://doi.org/10.24940/theijhss/2022/v10/i6/hs2204-020</w:t>
      </w:r>
    </w:p>
    <w:p w14:paraId="0F2C0545" w14:textId="1C3384B9" w:rsidR="00B3108E" w:rsidRPr="00B3108E" w:rsidRDefault="00B3108E" w:rsidP="00B3108E">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B3108E">
        <w:rPr>
          <w:rFonts w:ascii="Times New Roman" w:hAnsi="Times New Roman" w:cs="Times New Roman"/>
          <w:noProof/>
          <w:sz w:val="24"/>
          <w:szCs w:val="24"/>
        </w:rPr>
        <w:t xml:space="preserve">Yutanto, H., Ilham, R., Candraningrat, &amp; Armansyah, R. F. (2023). Unveiling The Evolution: How History, Politics, Culture, And Technology Shape Accounting Systems For Smes In Indonesia. </w:t>
      </w:r>
      <w:r w:rsidRPr="00B3108E">
        <w:rPr>
          <w:rFonts w:ascii="Times New Roman" w:hAnsi="Times New Roman" w:cs="Times New Roman"/>
          <w:i/>
          <w:iCs/>
          <w:noProof/>
          <w:sz w:val="24"/>
          <w:szCs w:val="24"/>
        </w:rPr>
        <w:t>Journal of Theoretical and Applied Information Technology</w:t>
      </w:r>
      <w:r w:rsidRPr="00B3108E">
        <w:rPr>
          <w:rFonts w:ascii="Times New Roman" w:hAnsi="Times New Roman" w:cs="Times New Roman"/>
          <w:noProof/>
          <w:sz w:val="24"/>
          <w:szCs w:val="24"/>
        </w:rPr>
        <w:t xml:space="preserve">, </w:t>
      </w:r>
      <w:r w:rsidRPr="00B3108E">
        <w:rPr>
          <w:rFonts w:ascii="Times New Roman" w:hAnsi="Times New Roman" w:cs="Times New Roman"/>
          <w:i/>
          <w:iCs/>
          <w:noProof/>
          <w:sz w:val="24"/>
          <w:szCs w:val="24"/>
        </w:rPr>
        <w:t>101</w:t>
      </w:r>
      <w:r w:rsidRPr="00B3108E">
        <w:rPr>
          <w:rFonts w:ascii="Times New Roman" w:hAnsi="Times New Roman" w:cs="Times New Roman"/>
          <w:noProof/>
          <w:sz w:val="24"/>
          <w:szCs w:val="24"/>
        </w:rPr>
        <w:t>(23), 7739–7748.</w:t>
      </w:r>
    </w:p>
    <w:p w14:paraId="61885F69" w14:textId="5F9F51F1" w:rsidR="005A30FF" w:rsidRDefault="00372CDC" w:rsidP="00B3108E">
      <w:pPr>
        <w:spacing w:after="0" w:line="240" w:lineRule="auto"/>
        <w:jc w:val="both"/>
      </w:pPr>
      <w:r w:rsidRPr="00372CDC">
        <w:rPr>
          <w:rFonts w:ascii="Times New Roman" w:hAnsi="Times New Roman" w:cs="Times New Roman"/>
          <w:sz w:val="24"/>
          <w:szCs w:val="24"/>
        </w:rPr>
        <w:fldChar w:fldCharType="end"/>
      </w:r>
    </w:p>
    <w:p w14:paraId="5832B2D6" w14:textId="597E3F57" w:rsidR="005A30FF" w:rsidRDefault="005A30FF" w:rsidP="005A30FF"/>
    <w:p w14:paraId="20FB81E3" w14:textId="3819281D" w:rsidR="005A30FF" w:rsidRDefault="005A30FF" w:rsidP="005A30FF"/>
    <w:p w14:paraId="423E7737" w14:textId="28BC4715" w:rsidR="005A30FF" w:rsidRPr="005A30FF" w:rsidRDefault="005A30FF" w:rsidP="005A30FF"/>
    <w:sectPr w:rsidR="005A30FF" w:rsidRPr="005A30FF" w:rsidSect="006C2BE7">
      <w:type w:val="continuous"/>
      <w:pgSz w:w="11906" w:h="16838"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auto"/>
    <w:pitch w:val="variable"/>
    <w:sig w:usb0="00000000" w:usb1="C0007841" w:usb2="00000009" w:usb3="00000000" w:csb0="000001FF" w:csb1="00000000"/>
  </w:font>
  <w:font w:name="Garamond-Italic-Identity-H">
    <w:altName w:val="Garamon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3493"/>
    <w:multiLevelType w:val="hybridMultilevel"/>
    <w:tmpl w:val="359C2BC6"/>
    <w:lvl w:ilvl="0" w:tplc="D0A023A0">
      <w:start w:val="1"/>
      <w:numFmt w:val="bullet"/>
      <w:lvlText w:val="•"/>
      <w:lvlJc w:val="left"/>
      <w:pPr>
        <w:tabs>
          <w:tab w:val="num" w:pos="720"/>
        </w:tabs>
        <w:ind w:left="720" w:hanging="360"/>
      </w:pPr>
      <w:rPr>
        <w:rFonts w:ascii="Arial" w:hAnsi="Arial" w:hint="default"/>
      </w:rPr>
    </w:lvl>
    <w:lvl w:ilvl="1" w:tplc="08B8BC24">
      <w:numFmt w:val="bullet"/>
      <w:lvlText w:val="•"/>
      <w:lvlJc w:val="left"/>
      <w:pPr>
        <w:tabs>
          <w:tab w:val="num" w:pos="1440"/>
        </w:tabs>
        <w:ind w:left="1440" w:hanging="360"/>
      </w:pPr>
      <w:rPr>
        <w:rFonts w:ascii="Arial" w:hAnsi="Arial" w:hint="default"/>
      </w:rPr>
    </w:lvl>
    <w:lvl w:ilvl="2" w:tplc="48880820" w:tentative="1">
      <w:start w:val="1"/>
      <w:numFmt w:val="bullet"/>
      <w:lvlText w:val="•"/>
      <w:lvlJc w:val="left"/>
      <w:pPr>
        <w:tabs>
          <w:tab w:val="num" w:pos="2160"/>
        </w:tabs>
        <w:ind w:left="2160" w:hanging="360"/>
      </w:pPr>
      <w:rPr>
        <w:rFonts w:ascii="Arial" w:hAnsi="Arial" w:hint="default"/>
      </w:rPr>
    </w:lvl>
    <w:lvl w:ilvl="3" w:tplc="04B4CA30" w:tentative="1">
      <w:start w:val="1"/>
      <w:numFmt w:val="bullet"/>
      <w:lvlText w:val="•"/>
      <w:lvlJc w:val="left"/>
      <w:pPr>
        <w:tabs>
          <w:tab w:val="num" w:pos="2880"/>
        </w:tabs>
        <w:ind w:left="2880" w:hanging="360"/>
      </w:pPr>
      <w:rPr>
        <w:rFonts w:ascii="Arial" w:hAnsi="Arial" w:hint="default"/>
      </w:rPr>
    </w:lvl>
    <w:lvl w:ilvl="4" w:tplc="46A0B6B6" w:tentative="1">
      <w:start w:val="1"/>
      <w:numFmt w:val="bullet"/>
      <w:lvlText w:val="•"/>
      <w:lvlJc w:val="left"/>
      <w:pPr>
        <w:tabs>
          <w:tab w:val="num" w:pos="3600"/>
        </w:tabs>
        <w:ind w:left="3600" w:hanging="360"/>
      </w:pPr>
      <w:rPr>
        <w:rFonts w:ascii="Arial" w:hAnsi="Arial" w:hint="default"/>
      </w:rPr>
    </w:lvl>
    <w:lvl w:ilvl="5" w:tplc="D30C34B4" w:tentative="1">
      <w:start w:val="1"/>
      <w:numFmt w:val="bullet"/>
      <w:lvlText w:val="•"/>
      <w:lvlJc w:val="left"/>
      <w:pPr>
        <w:tabs>
          <w:tab w:val="num" w:pos="4320"/>
        </w:tabs>
        <w:ind w:left="4320" w:hanging="360"/>
      </w:pPr>
      <w:rPr>
        <w:rFonts w:ascii="Arial" w:hAnsi="Arial" w:hint="default"/>
      </w:rPr>
    </w:lvl>
    <w:lvl w:ilvl="6" w:tplc="5D90E294" w:tentative="1">
      <w:start w:val="1"/>
      <w:numFmt w:val="bullet"/>
      <w:lvlText w:val="•"/>
      <w:lvlJc w:val="left"/>
      <w:pPr>
        <w:tabs>
          <w:tab w:val="num" w:pos="5040"/>
        </w:tabs>
        <w:ind w:left="5040" w:hanging="360"/>
      </w:pPr>
      <w:rPr>
        <w:rFonts w:ascii="Arial" w:hAnsi="Arial" w:hint="default"/>
      </w:rPr>
    </w:lvl>
    <w:lvl w:ilvl="7" w:tplc="079AE884" w:tentative="1">
      <w:start w:val="1"/>
      <w:numFmt w:val="bullet"/>
      <w:lvlText w:val="•"/>
      <w:lvlJc w:val="left"/>
      <w:pPr>
        <w:tabs>
          <w:tab w:val="num" w:pos="5760"/>
        </w:tabs>
        <w:ind w:left="5760" w:hanging="360"/>
      </w:pPr>
      <w:rPr>
        <w:rFonts w:ascii="Arial" w:hAnsi="Arial" w:hint="default"/>
      </w:rPr>
    </w:lvl>
    <w:lvl w:ilvl="8" w:tplc="CC7C53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FA12DC"/>
    <w:multiLevelType w:val="hybridMultilevel"/>
    <w:tmpl w:val="7F80E020"/>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2A320B26"/>
    <w:multiLevelType w:val="hybridMultilevel"/>
    <w:tmpl w:val="C24C7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314EF"/>
    <w:multiLevelType w:val="hybridMultilevel"/>
    <w:tmpl w:val="880CD9C6"/>
    <w:lvl w:ilvl="0" w:tplc="07941A90">
      <w:start w:val="1"/>
      <w:numFmt w:val="bullet"/>
      <w:lvlText w:val="•"/>
      <w:lvlJc w:val="left"/>
      <w:pPr>
        <w:tabs>
          <w:tab w:val="num" w:pos="720"/>
        </w:tabs>
        <w:ind w:left="720" w:hanging="360"/>
      </w:pPr>
      <w:rPr>
        <w:rFonts w:ascii="Arial" w:hAnsi="Arial" w:hint="default"/>
      </w:rPr>
    </w:lvl>
    <w:lvl w:ilvl="1" w:tplc="889AF7A2" w:tentative="1">
      <w:start w:val="1"/>
      <w:numFmt w:val="bullet"/>
      <w:lvlText w:val="•"/>
      <w:lvlJc w:val="left"/>
      <w:pPr>
        <w:tabs>
          <w:tab w:val="num" w:pos="1440"/>
        </w:tabs>
        <w:ind w:left="1440" w:hanging="360"/>
      </w:pPr>
      <w:rPr>
        <w:rFonts w:ascii="Arial" w:hAnsi="Arial" w:hint="default"/>
      </w:rPr>
    </w:lvl>
    <w:lvl w:ilvl="2" w:tplc="99142950" w:tentative="1">
      <w:start w:val="1"/>
      <w:numFmt w:val="bullet"/>
      <w:lvlText w:val="•"/>
      <w:lvlJc w:val="left"/>
      <w:pPr>
        <w:tabs>
          <w:tab w:val="num" w:pos="2160"/>
        </w:tabs>
        <w:ind w:left="2160" w:hanging="360"/>
      </w:pPr>
      <w:rPr>
        <w:rFonts w:ascii="Arial" w:hAnsi="Arial" w:hint="default"/>
      </w:rPr>
    </w:lvl>
    <w:lvl w:ilvl="3" w:tplc="53DCB4D4" w:tentative="1">
      <w:start w:val="1"/>
      <w:numFmt w:val="bullet"/>
      <w:lvlText w:val="•"/>
      <w:lvlJc w:val="left"/>
      <w:pPr>
        <w:tabs>
          <w:tab w:val="num" w:pos="2880"/>
        </w:tabs>
        <w:ind w:left="2880" w:hanging="360"/>
      </w:pPr>
      <w:rPr>
        <w:rFonts w:ascii="Arial" w:hAnsi="Arial" w:hint="default"/>
      </w:rPr>
    </w:lvl>
    <w:lvl w:ilvl="4" w:tplc="98D6DAA8" w:tentative="1">
      <w:start w:val="1"/>
      <w:numFmt w:val="bullet"/>
      <w:lvlText w:val="•"/>
      <w:lvlJc w:val="left"/>
      <w:pPr>
        <w:tabs>
          <w:tab w:val="num" w:pos="3600"/>
        </w:tabs>
        <w:ind w:left="3600" w:hanging="360"/>
      </w:pPr>
      <w:rPr>
        <w:rFonts w:ascii="Arial" w:hAnsi="Arial" w:hint="default"/>
      </w:rPr>
    </w:lvl>
    <w:lvl w:ilvl="5" w:tplc="F834ABDE" w:tentative="1">
      <w:start w:val="1"/>
      <w:numFmt w:val="bullet"/>
      <w:lvlText w:val="•"/>
      <w:lvlJc w:val="left"/>
      <w:pPr>
        <w:tabs>
          <w:tab w:val="num" w:pos="4320"/>
        </w:tabs>
        <w:ind w:left="4320" w:hanging="360"/>
      </w:pPr>
      <w:rPr>
        <w:rFonts w:ascii="Arial" w:hAnsi="Arial" w:hint="default"/>
      </w:rPr>
    </w:lvl>
    <w:lvl w:ilvl="6" w:tplc="ED321BD2" w:tentative="1">
      <w:start w:val="1"/>
      <w:numFmt w:val="bullet"/>
      <w:lvlText w:val="•"/>
      <w:lvlJc w:val="left"/>
      <w:pPr>
        <w:tabs>
          <w:tab w:val="num" w:pos="5040"/>
        </w:tabs>
        <w:ind w:left="5040" w:hanging="360"/>
      </w:pPr>
      <w:rPr>
        <w:rFonts w:ascii="Arial" w:hAnsi="Arial" w:hint="default"/>
      </w:rPr>
    </w:lvl>
    <w:lvl w:ilvl="7" w:tplc="C9509032" w:tentative="1">
      <w:start w:val="1"/>
      <w:numFmt w:val="bullet"/>
      <w:lvlText w:val="•"/>
      <w:lvlJc w:val="left"/>
      <w:pPr>
        <w:tabs>
          <w:tab w:val="num" w:pos="5760"/>
        </w:tabs>
        <w:ind w:left="5760" w:hanging="360"/>
      </w:pPr>
      <w:rPr>
        <w:rFonts w:ascii="Arial" w:hAnsi="Arial" w:hint="default"/>
      </w:rPr>
    </w:lvl>
    <w:lvl w:ilvl="8" w:tplc="706EC4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1F6662"/>
    <w:multiLevelType w:val="multilevel"/>
    <w:tmpl w:val="6D5AA6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E837A55"/>
    <w:multiLevelType w:val="multilevel"/>
    <w:tmpl w:val="7BDAC31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232215"/>
    <w:multiLevelType w:val="multilevel"/>
    <w:tmpl w:val="3D5EA5BC"/>
    <w:lvl w:ilvl="0">
      <w:start w:val="1"/>
      <w:numFmt w:val="upperLetter"/>
      <w:pStyle w:val="IJASEIT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1D73A69"/>
    <w:multiLevelType w:val="multilevel"/>
    <w:tmpl w:val="A38EE7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327118E"/>
    <w:multiLevelType w:val="hybridMultilevel"/>
    <w:tmpl w:val="6C9277AA"/>
    <w:lvl w:ilvl="0" w:tplc="4E184972">
      <w:start w:val="1"/>
      <w:numFmt w:val="bullet"/>
      <w:lvlText w:val="•"/>
      <w:lvlJc w:val="left"/>
      <w:pPr>
        <w:tabs>
          <w:tab w:val="num" w:pos="720"/>
        </w:tabs>
        <w:ind w:left="720" w:hanging="360"/>
      </w:pPr>
      <w:rPr>
        <w:rFonts w:ascii="Arial" w:hAnsi="Arial" w:hint="default"/>
      </w:rPr>
    </w:lvl>
    <w:lvl w:ilvl="1" w:tplc="F2C29294" w:tentative="1">
      <w:start w:val="1"/>
      <w:numFmt w:val="bullet"/>
      <w:lvlText w:val="•"/>
      <w:lvlJc w:val="left"/>
      <w:pPr>
        <w:tabs>
          <w:tab w:val="num" w:pos="1440"/>
        </w:tabs>
        <w:ind w:left="1440" w:hanging="360"/>
      </w:pPr>
      <w:rPr>
        <w:rFonts w:ascii="Arial" w:hAnsi="Arial" w:hint="default"/>
      </w:rPr>
    </w:lvl>
    <w:lvl w:ilvl="2" w:tplc="DA78EB16" w:tentative="1">
      <w:start w:val="1"/>
      <w:numFmt w:val="bullet"/>
      <w:lvlText w:val="•"/>
      <w:lvlJc w:val="left"/>
      <w:pPr>
        <w:tabs>
          <w:tab w:val="num" w:pos="2160"/>
        </w:tabs>
        <w:ind w:left="2160" w:hanging="360"/>
      </w:pPr>
      <w:rPr>
        <w:rFonts w:ascii="Arial" w:hAnsi="Arial" w:hint="default"/>
      </w:rPr>
    </w:lvl>
    <w:lvl w:ilvl="3" w:tplc="2E4A2994" w:tentative="1">
      <w:start w:val="1"/>
      <w:numFmt w:val="bullet"/>
      <w:lvlText w:val="•"/>
      <w:lvlJc w:val="left"/>
      <w:pPr>
        <w:tabs>
          <w:tab w:val="num" w:pos="2880"/>
        </w:tabs>
        <w:ind w:left="2880" w:hanging="360"/>
      </w:pPr>
      <w:rPr>
        <w:rFonts w:ascii="Arial" w:hAnsi="Arial" w:hint="default"/>
      </w:rPr>
    </w:lvl>
    <w:lvl w:ilvl="4" w:tplc="5714ED3A" w:tentative="1">
      <w:start w:val="1"/>
      <w:numFmt w:val="bullet"/>
      <w:lvlText w:val="•"/>
      <w:lvlJc w:val="left"/>
      <w:pPr>
        <w:tabs>
          <w:tab w:val="num" w:pos="3600"/>
        </w:tabs>
        <w:ind w:left="3600" w:hanging="360"/>
      </w:pPr>
      <w:rPr>
        <w:rFonts w:ascii="Arial" w:hAnsi="Arial" w:hint="default"/>
      </w:rPr>
    </w:lvl>
    <w:lvl w:ilvl="5" w:tplc="737AB410" w:tentative="1">
      <w:start w:val="1"/>
      <w:numFmt w:val="bullet"/>
      <w:lvlText w:val="•"/>
      <w:lvlJc w:val="left"/>
      <w:pPr>
        <w:tabs>
          <w:tab w:val="num" w:pos="4320"/>
        </w:tabs>
        <w:ind w:left="4320" w:hanging="360"/>
      </w:pPr>
      <w:rPr>
        <w:rFonts w:ascii="Arial" w:hAnsi="Arial" w:hint="default"/>
      </w:rPr>
    </w:lvl>
    <w:lvl w:ilvl="6" w:tplc="4F3C494E" w:tentative="1">
      <w:start w:val="1"/>
      <w:numFmt w:val="bullet"/>
      <w:lvlText w:val="•"/>
      <w:lvlJc w:val="left"/>
      <w:pPr>
        <w:tabs>
          <w:tab w:val="num" w:pos="5040"/>
        </w:tabs>
        <w:ind w:left="5040" w:hanging="360"/>
      </w:pPr>
      <w:rPr>
        <w:rFonts w:ascii="Arial" w:hAnsi="Arial" w:hint="default"/>
      </w:rPr>
    </w:lvl>
    <w:lvl w:ilvl="7" w:tplc="B7AA786C" w:tentative="1">
      <w:start w:val="1"/>
      <w:numFmt w:val="bullet"/>
      <w:lvlText w:val="•"/>
      <w:lvlJc w:val="left"/>
      <w:pPr>
        <w:tabs>
          <w:tab w:val="num" w:pos="5760"/>
        </w:tabs>
        <w:ind w:left="5760" w:hanging="360"/>
      </w:pPr>
      <w:rPr>
        <w:rFonts w:ascii="Arial" w:hAnsi="Arial" w:hint="default"/>
      </w:rPr>
    </w:lvl>
    <w:lvl w:ilvl="8" w:tplc="338E14E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ED374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7C6E99"/>
    <w:multiLevelType w:val="hybridMultilevel"/>
    <w:tmpl w:val="8386303C"/>
    <w:lvl w:ilvl="0" w:tplc="D35C2148">
      <w:start w:val="1"/>
      <w:numFmt w:val="bullet"/>
      <w:lvlText w:val="•"/>
      <w:lvlJc w:val="left"/>
      <w:pPr>
        <w:tabs>
          <w:tab w:val="num" w:pos="720"/>
        </w:tabs>
        <w:ind w:left="720" w:hanging="360"/>
      </w:pPr>
      <w:rPr>
        <w:rFonts w:ascii="Arial" w:hAnsi="Arial" w:hint="default"/>
      </w:rPr>
    </w:lvl>
    <w:lvl w:ilvl="1" w:tplc="27D2F38A">
      <w:numFmt w:val="bullet"/>
      <w:lvlText w:val="•"/>
      <w:lvlJc w:val="left"/>
      <w:pPr>
        <w:tabs>
          <w:tab w:val="num" w:pos="1440"/>
        </w:tabs>
        <w:ind w:left="1440" w:hanging="360"/>
      </w:pPr>
      <w:rPr>
        <w:rFonts w:ascii="Arial" w:hAnsi="Arial" w:hint="default"/>
      </w:rPr>
    </w:lvl>
    <w:lvl w:ilvl="2" w:tplc="ABE4BE3E" w:tentative="1">
      <w:start w:val="1"/>
      <w:numFmt w:val="bullet"/>
      <w:lvlText w:val="•"/>
      <w:lvlJc w:val="left"/>
      <w:pPr>
        <w:tabs>
          <w:tab w:val="num" w:pos="2160"/>
        </w:tabs>
        <w:ind w:left="2160" w:hanging="360"/>
      </w:pPr>
      <w:rPr>
        <w:rFonts w:ascii="Arial" w:hAnsi="Arial" w:hint="default"/>
      </w:rPr>
    </w:lvl>
    <w:lvl w:ilvl="3" w:tplc="DE841E92" w:tentative="1">
      <w:start w:val="1"/>
      <w:numFmt w:val="bullet"/>
      <w:lvlText w:val="•"/>
      <w:lvlJc w:val="left"/>
      <w:pPr>
        <w:tabs>
          <w:tab w:val="num" w:pos="2880"/>
        </w:tabs>
        <w:ind w:left="2880" w:hanging="360"/>
      </w:pPr>
      <w:rPr>
        <w:rFonts w:ascii="Arial" w:hAnsi="Arial" w:hint="default"/>
      </w:rPr>
    </w:lvl>
    <w:lvl w:ilvl="4" w:tplc="2624ACDC" w:tentative="1">
      <w:start w:val="1"/>
      <w:numFmt w:val="bullet"/>
      <w:lvlText w:val="•"/>
      <w:lvlJc w:val="left"/>
      <w:pPr>
        <w:tabs>
          <w:tab w:val="num" w:pos="3600"/>
        </w:tabs>
        <w:ind w:left="3600" w:hanging="360"/>
      </w:pPr>
      <w:rPr>
        <w:rFonts w:ascii="Arial" w:hAnsi="Arial" w:hint="default"/>
      </w:rPr>
    </w:lvl>
    <w:lvl w:ilvl="5" w:tplc="E8B0404A" w:tentative="1">
      <w:start w:val="1"/>
      <w:numFmt w:val="bullet"/>
      <w:lvlText w:val="•"/>
      <w:lvlJc w:val="left"/>
      <w:pPr>
        <w:tabs>
          <w:tab w:val="num" w:pos="4320"/>
        </w:tabs>
        <w:ind w:left="4320" w:hanging="360"/>
      </w:pPr>
      <w:rPr>
        <w:rFonts w:ascii="Arial" w:hAnsi="Arial" w:hint="default"/>
      </w:rPr>
    </w:lvl>
    <w:lvl w:ilvl="6" w:tplc="C23C1B18" w:tentative="1">
      <w:start w:val="1"/>
      <w:numFmt w:val="bullet"/>
      <w:lvlText w:val="•"/>
      <w:lvlJc w:val="left"/>
      <w:pPr>
        <w:tabs>
          <w:tab w:val="num" w:pos="5040"/>
        </w:tabs>
        <w:ind w:left="5040" w:hanging="360"/>
      </w:pPr>
      <w:rPr>
        <w:rFonts w:ascii="Arial" w:hAnsi="Arial" w:hint="default"/>
      </w:rPr>
    </w:lvl>
    <w:lvl w:ilvl="7" w:tplc="D910F0EA" w:tentative="1">
      <w:start w:val="1"/>
      <w:numFmt w:val="bullet"/>
      <w:lvlText w:val="•"/>
      <w:lvlJc w:val="left"/>
      <w:pPr>
        <w:tabs>
          <w:tab w:val="num" w:pos="5760"/>
        </w:tabs>
        <w:ind w:left="5760" w:hanging="360"/>
      </w:pPr>
      <w:rPr>
        <w:rFonts w:ascii="Arial" w:hAnsi="Arial" w:hint="default"/>
      </w:rPr>
    </w:lvl>
    <w:lvl w:ilvl="8" w:tplc="D7D6B7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E0A0FCF"/>
    <w:multiLevelType w:val="multilevel"/>
    <w:tmpl w:val="F08A73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5"/>
  </w:num>
  <w:num w:numId="8">
    <w:abstractNumId w:val="1"/>
  </w:num>
  <w:num w:numId="9">
    <w:abstractNumId w:val="3"/>
  </w:num>
  <w:num w:numId="10">
    <w:abstractNumId w:val="10"/>
  </w:num>
  <w:num w:numId="11">
    <w:abstractNumId w:val="2"/>
  </w:num>
  <w:num w:numId="12">
    <w:abstractNumId w:val="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ysDCxNLQAsY3MlHSUglOLizPz80AKDI1qARizIlUtAAAA"/>
  </w:docVars>
  <w:rsids>
    <w:rsidRoot w:val="007A73E6"/>
    <w:rsid w:val="0009628F"/>
    <w:rsid w:val="000B423B"/>
    <w:rsid w:val="00173DA6"/>
    <w:rsid w:val="00191B72"/>
    <w:rsid w:val="00234FFB"/>
    <w:rsid w:val="00244E3E"/>
    <w:rsid w:val="00275301"/>
    <w:rsid w:val="002E6A97"/>
    <w:rsid w:val="002E6C2A"/>
    <w:rsid w:val="00372CDC"/>
    <w:rsid w:val="003B761D"/>
    <w:rsid w:val="003C52CA"/>
    <w:rsid w:val="00430365"/>
    <w:rsid w:val="004378E2"/>
    <w:rsid w:val="00443FAD"/>
    <w:rsid w:val="00445AB8"/>
    <w:rsid w:val="00463E7C"/>
    <w:rsid w:val="00495FCF"/>
    <w:rsid w:val="005417E8"/>
    <w:rsid w:val="00560739"/>
    <w:rsid w:val="005A30FF"/>
    <w:rsid w:val="006243B6"/>
    <w:rsid w:val="00683BE0"/>
    <w:rsid w:val="00690781"/>
    <w:rsid w:val="006938C5"/>
    <w:rsid w:val="006A1B23"/>
    <w:rsid w:val="006C2BE7"/>
    <w:rsid w:val="006D5C07"/>
    <w:rsid w:val="006E1548"/>
    <w:rsid w:val="006F1E7B"/>
    <w:rsid w:val="00741146"/>
    <w:rsid w:val="007435C0"/>
    <w:rsid w:val="007A73E6"/>
    <w:rsid w:val="007B1C76"/>
    <w:rsid w:val="007C3CC4"/>
    <w:rsid w:val="007C7AA2"/>
    <w:rsid w:val="007D185C"/>
    <w:rsid w:val="007D482F"/>
    <w:rsid w:val="007E283B"/>
    <w:rsid w:val="008F2FF4"/>
    <w:rsid w:val="00911849"/>
    <w:rsid w:val="00937CB1"/>
    <w:rsid w:val="00A0773D"/>
    <w:rsid w:val="00A47E9E"/>
    <w:rsid w:val="00A51C04"/>
    <w:rsid w:val="00A8323C"/>
    <w:rsid w:val="00AB5D69"/>
    <w:rsid w:val="00B03934"/>
    <w:rsid w:val="00B152CE"/>
    <w:rsid w:val="00B3108E"/>
    <w:rsid w:val="00B4237A"/>
    <w:rsid w:val="00B52B78"/>
    <w:rsid w:val="00B65EA3"/>
    <w:rsid w:val="00B81E49"/>
    <w:rsid w:val="00BB2FA6"/>
    <w:rsid w:val="00BF565D"/>
    <w:rsid w:val="00C269A7"/>
    <w:rsid w:val="00C62F69"/>
    <w:rsid w:val="00C65F44"/>
    <w:rsid w:val="00CE7017"/>
    <w:rsid w:val="00CF75ED"/>
    <w:rsid w:val="00D063B8"/>
    <w:rsid w:val="00D32E59"/>
    <w:rsid w:val="00D60304"/>
    <w:rsid w:val="00DA7483"/>
    <w:rsid w:val="00DB63E0"/>
    <w:rsid w:val="00DF546E"/>
    <w:rsid w:val="00E176C8"/>
    <w:rsid w:val="00E31239"/>
    <w:rsid w:val="00E8690A"/>
    <w:rsid w:val="00F71CA0"/>
    <w:rsid w:val="00FA19EF"/>
    <w:rsid w:val="00FE69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6F46"/>
  <w15:chartTrackingRefBased/>
  <w15:docId w15:val="{07D128A7-56B1-4A4D-B7AA-F8A18FF8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683BE0"/>
    <w:pPr>
      <w:numPr>
        <w:numId w:val="7"/>
      </w:numPr>
      <w:spacing w:before="240" w:line="240" w:lineRule="auto"/>
      <w:ind w:left="284" w:hanging="284"/>
      <w:jc w:val="center"/>
      <w:outlineLvl w:val="0"/>
    </w:pPr>
    <w:rPr>
      <w:rFonts w:ascii="Times New Roman" w:hAnsi="Times New Roman" w:cs="Times New Roman"/>
      <w:b/>
      <w:bCs/>
      <w:sz w:val="32"/>
      <w:szCs w:val="32"/>
    </w:rPr>
  </w:style>
  <w:style w:type="paragraph" w:styleId="Heading2">
    <w:name w:val="heading 2"/>
    <w:basedOn w:val="ListParagraph"/>
    <w:next w:val="Normal"/>
    <w:link w:val="Heading2Char"/>
    <w:uiPriority w:val="9"/>
    <w:unhideWhenUsed/>
    <w:qFormat/>
    <w:rsid w:val="00D60304"/>
    <w:pPr>
      <w:numPr>
        <w:ilvl w:val="1"/>
        <w:numId w:val="7"/>
      </w:numPr>
      <w:ind w:left="567" w:hanging="567"/>
      <w:jc w:val="both"/>
      <w:outlineLvl w:val="1"/>
    </w:pPr>
    <w:rPr>
      <w:rFonts w:ascii="Times New Roman" w:hAnsi="Times New Roman" w:cs="Times New Roman"/>
      <w:b/>
      <w:bCs/>
      <w:iCs/>
      <w:sz w:val="28"/>
      <w:szCs w:val="28"/>
    </w:rPr>
  </w:style>
  <w:style w:type="paragraph" w:styleId="Heading3">
    <w:name w:val="heading 3"/>
    <w:basedOn w:val="ListParagraph"/>
    <w:next w:val="Normal"/>
    <w:link w:val="Heading3Char"/>
    <w:uiPriority w:val="9"/>
    <w:unhideWhenUsed/>
    <w:qFormat/>
    <w:rsid w:val="00FE699E"/>
    <w:pPr>
      <w:numPr>
        <w:ilvl w:val="2"/>
        <w:numId w:val="7"/>
      </w:numPr>
      <w:ind w:left="993" w:hanging="709"/>
      <w:jc w:val="both"/>
      <w:outlineLvl w:val="2"/>
    </w:pPr>
    <w:rPr>
      <w:rFonts w:ascii="Times New Roman" w:hAnsi="Times New Roman" w:cs="Times New Roman"/>
      <w:sz w:val="24"/>
      <w:szCs w:val="24"/>
    </w:rPr>
  </w:style>
  <w:style w:type="paragraph" w:styleId="Heading4">
    <w:name w:val="heading 4"/>
    <w:basedOn w:val="Normal"/>
    <w:next w:val="Normal"/>
    <w:link w:val="Heading4Char"/>
    <w:uiPriority w:val="9"/>
    <w:unhideWhenUsed/>
    <w:qFormat/>
    <w:rsid w:val="00683BE0"/>
    <w:pPr>
      <w:spacing w:after="0"/>
      <w:ind w:firstLine="284"/>
      <w:jc w:val="both"/>
      <w:outlineLvl w:val="3"/>
    </w:pPr>
    <w:rPr>
      <w:rFonts w:ascii="Times New Roman" w:hAnsi="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BE0"/>
    <w:rPr>
      <w:rFonts w:ascii="Times New Roman" w:hAnsi="Times New Roman" w:cs="Times New Roman"/>
      <w:b/>
      <w:bCs/>
      <w:sz w:val="32"/>
      <w:szCs w:val="32"/>
    </w:rPr>
  </w:style>
  <w:style w:type="paragraph" w:styleId="Title">
    <w:name w:val="Title"/>
    <w:basedOn w:val="Heading1"/>
    <w:next w:val="Normal"/>
    <w:link w:val="TitleChar"/>
    <w:uiPriority w:val="10"/>
    <w:qFormat/>
    <w:rsid w:val="006E1548"/>
    <w:pPr>
      <w:numPr>
        <w:numId w:val="0"/>
      </w:numPr>
      <w:ind w:left="792"/>
    </w:pPr>
    <w:rPr>
      <w:sz w:val="36"/>
      <w:szCs w:val="36"/>
    </w:rPr>
  </w:style>
  <w:style w:type="character" w:customStyle="1" w:styleId="TitleChar">
    <w:name w:val="Title Char"/>
    <w:basedOn w:val="DefaultParagraphFont"/>
    <w:link w:val="Title"/>
    <w:uiPriority w:val="10"/>
    <w:rsid w:val="006E1548"/>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D60304"/>
    <w:rPr>
      <w:rFonts w:ascii="Times New Roman" w:hAnsi="Times New Roman" w:cs="Times New Roman"/>
      <w:b/>
      <w:bCs/>
      <w:iCs/>
      <w:sz w:val="28"/>
      <w:szCs w:val="28"/>
    </w:rPr>
  </w:style>
  <w:style w:type="paragraph" w:styleId="ListParagraph">
    <w:name w:val="List Paragraph"/>
    <w:basedOn w:val="Normal"/>
    <w:link w:val="ListParagraphChar"/>
    <w:uiPriority w:val="34"/>
    <w:qFormat/>
    <w:rsid w:val="00445AB8"/>
    <w:pPr>
      <w:ind w:left="720"/>
      <w:contextualSpacing/>
    </w:pPr>
  </w:style>
  <w:style w:type="character" w:customStyle="1" w:styleId="Heading3Char">
    <w:name w:val="Heading 3 Char"/>
    <w:basedOn w:val="DefaultParagraphFont"/>
    <w:link w:val="Heading3"/>
    <w:uiPriority w:val="9"/>
    <w:rsid w:val="00FE699E"/>
    <w:rPr>
      <w:rFonts w:ascii="Times New Roman" w:hAnsi="Times New Roman" w:cs="Times New Roman"/>
      <w:sz w:val="24"/>
      <w:szCs w:val="24"/>
    </w:rPr>
  </w:style>
  <w:style w:type="character" w:customStyle="1" w:styleId="fontstyle01">
    <w:name w:val="fontstyle01"/>
    <w:rsid w:val="00E31239"/>
    <w:rPr>
      <w:rFonts w:ascii="TimesNewRomanPSMT" w:hAnsi="TimesNewRomanPSMT" w:hint="default"/>
      <w:b w:val="0"/>
      <w:bCs w:val="0"/>
      <w:i w:val="0"/>
      <w:iCs w:val="0"/>
      <w:color w:val="000000"/>
      <w:sz w:val="20"/>
      <w:szCs w:val="20"/>
    </w:rPr>
  </w:style>
  <w:style w:type="character" w:customStyle="1" w:styleId="fontstyle21">
    <w:name w:val="fontstyle21"/>
    <w:rsid w:val="00E31239"/>
    <w:rPr>
      <w:rFonts w:ascii="Garamond-Italic-Identity-H" w:hAnsi="Garamond-Italic-Identity-H" w:hint="default"/>
      <w:b w:val="0"/>
      <w:bCs w:val="0"/>
      <w:i/>
      <w:iCs/>
      <w:color w:val="231F20"/>
      <w:sz w:val="24"/>
      <w:szCs w:val="24"/>
    </w:rPr>
  </w:style>
  <w:style w:type="character" w:styleId="Emphasis">
    <w:name w:val="Emphasis"/>
    <w:uiPriority w:val="20"/>
    <w:qFormat/>
    <w:rsid w:val="00E31239"/>
    <w:rPr>
      <w:i/>
      <w:iCs/>
    </w:rPr>
  </w:style>
  <w:style w:type="character" w:customStyle="1" w:styleId="ListParagraphChar">
    <w:name w:val="List Paragraph Char"/>
    <w:link w:val="ListParagraph"/>
    <w:uiPriority w:val="34"/>
    <w:rsid w:val="00E31239"/>
  </w:style>
  <w:style w:type="character" w:styleId="Strong">
    <w:name w:val="Strong"/>
    <w:uiPriority w:val="22"/>
    <w:qFormat/>
    <w:rsid w:val="00E31239"/>
    <w:rPr>
      <w:rFonts w:cs="Times New Roman"/>
      <w:b/>
      <w:bCs/>
    </w:rPr>
  </w:style>
  <w:style w:type="character" w:customStyle="1" w:styleId="Heading4Char">
    <w:name w:val="Heading 4 Char"/>
    <w:basedOn w:val="DefaultParagraphFont"/>
    <w:link w:val="Heading4"/>
    <w:uiPriority w:val="9"/>
    <w:rsid w:val="00683BE0"/>
    <w:rPr>
      <w:rFonts w:ascii="Times New Roman" w:hAnsi="Times New Roman" w:cs="Times New Roman"/>
      <w:lang w:val="id-ID"/>
    </w:rPr>
  </w:style>
  <w:style w:type="paragraph" w:customStyle="1" w:styleId="IJASEITHeading2">
    <w:name w:val="IJASEIT Heading 2"/>
    <w:basedOn w:val="Normal"/>
    <w:next w:val="Normal"/>
    <w:rsid w:val="00234FFB"/>
    <w:pPr>
      <w:numPr>
        <w:numId w:val="14"/>
      </w:numPr>
      <w:adjustRightInd w:val="0"/>
      <w:snapToGrid w:val="0"/>
      <w:spacing w:before="150" w:after="60" w:line="240" w:lineRule="auto"/>
    </w:pPr>
    <w:rPr>
      <w:rFonts w:ascii="Times New Roman" w:eastAsia="SimSun" w:hAnsi="Times New Roman" w:cs="Times New Roman"/>
      <w:i/>
      <w:sz w:val="20"/>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493">
      <w:bodyDiv w:val="1"/>
      <w:marLeft w:val="0"/>
      <w:marRight w:val="0"/>
      <w:marTop w:val="0"/>
      <w:marBottom w:val="0"/>
      <w:divBdr>
        <w:top w:val="none" w:sz="0" w:space="0" w:color="auto"/>
        <w:left w:val="none" w:sz="0" w:space="0" w:color="auto"/>
        <w:bottom w:val="none" w:sz="0" w:space="0" w:color="auto"/>
        <w:right w:val="none" w:sz="0" w:space="0" w:color="auto"/>
      </w:divBdr>
    </w:div>
    <w:div w:id="170459649">
      <w:bodyDiv w:val="1"/>
      <w:marLeft w:val="0"/>
      <w:marRight w:val="0"/>
      <w:marTop w:val="0"/>
      <w:marBottom w:val="0"/>
      <w:divBdr>
        <w:top w:val="none" w:sz="0" w:space="0" w:color="auto"/>
        <w:left w:val="none" w:sz="0" w:space="0" w:color="auto"/>
        <w:bottom w:val="none" w:sz="0" w:space="0" w:color="auto"/>
        <w:right w:val="none" w:sz="0" w:space="0" w:color="auto"/>
      </w:divBdr>
    </w:div>
    <w:div w:id="193471703">
      <w:bodyDiv w:val="1"/>
      <w:marLeft w:val="0"/>
      <w:marRight w:val="0"/>
      <w:marTop w:val="0"/>
      <w:marBottom w:val="0"/>
      <w:divBdr>
        <w:top w:val="none" w:sz="0" w:space="0" w:color="auto"/>
        <w:left w:val="none" w:sz="0" w:space="0" w:color="auto"/>
        <w:bottom w:val="none" w:sz="0" w:space="0" w:color="auto"/>
        <w:right w:val="none" w:sz="0" w:space="0" w:color="auto"/>
      </w:divBdr>
      <w:divsChild>
        <w:div w:id="1037587826">
          <w:marLeft w:val="360"/>
          <w:marRight w:val="0"/>
          <w:marTop w:val="200"/>
          <w:marBottom w:val="0"/>
          <w:divBdr>
            <w:top w:val="none" w:sz="0" w:space="0" w:color="auto"/>
            <w:left w:val="none" w:sz="0" w:space="0" w:color="auto"/>
            <w:bottom w:val="none" w:sz="0" w:space="0" w:color="auto"/>
            <w:right w:val="none" w:sz="0" w:space="0" w:color="auto"/>
          </w:divBdr>
        </w:div>
      </w:divsChild>
    </w:div>
    <w:div w:id="528955666">
      <w:bodyDiv w:val="1"/>
      <w:marLeft w:val="0"/>
      <w:marRight w:val="0"/>
      <w:marTop w:val="0"/>
      <w:marBottom w:val="0"/>
      <w:divBdr>
        <w:top w:val="none" w:sz="0" w:space="0" w:color="auto"/>
        <w:left w:val="none" w:sz="0" w:space="0" w:color="auto"/>
        <w:bottom w:val="none" w:sz="0" w:space="0" w:color="auto"/>
        <w:right w:val="none" w:sz="0" w:space="0" w:color="auto"/>
      </w:divBdr>
    </w:div>
    <w:div w:id="622273073">
      <w:bodyDiv w:val="1"/>
      <w:marLeft w:val="0"/>
      <w:marRight w:val="0"/>
      <w:marTop w:val="0"/>
      <w:marBottom w:val="0"/>
      <w:divBdr>
        <w:top w:val="none" w:sz="0" w:space="0" w:color="auto"/>
        <w:left w:val="none" w:sz="0" w:space="0" w:color="auto"/>
        <w:bottom w:val="none" w:sz="0" w:space="0" w:color="auto"/>
        <w:right w:val="none" w:sz="0" w:space="0" w:color="auto"/>
      </w:divBdr>
    </w:div>
    <w:div w:id="635984821">
      <w:bodyDiv w:val="1"/>
      <w:marLeft w:val="0"/>
      <w:marRight w:val="0"/>
      <w:marTop w:val="0"/>
      <w:marBottom w:val="0"/>
      <w:divBdr>
        <w:top w:val="none" w:sz="0" w:space="0" w:color="auto"/>
        <w:left w:val="none" w:sz="0" w:space="0" w:color="auto"/>
        <w:bottom w:val="none" w:sz="0" w:space="0" w:color="auto"/>
        <w:right w:val="none" w:sz="0" w:space="0" w:color="auto"/>
      </w:divBdr>
    </w:div>
    <w:div w:id="660893773">
      <w:bodyDiv w:val="1"/>
      <w:marLeft w:val="0"/>
      <w:marRight w:val="0"/>
      <w:marTop w:val="0"/>
      <w:marBottom w:val="0"/>
      <w:divBdr>
        <w:top w:val="none" w:sz="0" w:space="0" w:color="auto"/>
        <w:left w:val="none" w:sz="0" w:space="0" w:color="auto"/>
        <w:bottom w:val="none" w:sz="0" w:space="0" w:color="auto"/>
        <w:right w:val="none" w:sz="0" w:space="0" w:color="auto"/>
      </w:divBdr>
    </w:div>
    <w:div w:id="850535193">
      <w:bodyDiv w:val="1"/>
      <w:marLeft w:val="0"/>
      <w:marRight w:val="0"/>
      <w:marTop w:val="0"/>
      <w:marBottom w:val="0"/>
      <w:divBdr>
        <w:top w:val="none" w:sz="0" w:space="0" w:color="auto"/>
        <w:left w:val="none" w:sz="0" w:space="0" w:color="auto"/>
        <w:bottom w:val="none" w:sz="0" w:space="0" w:color="auto"/>
        <w:right w:val="none" w:sz="0" w:space="0" w:color="auto"/>
      </w:divBdr>
    </w:div>
    <w:div w:id="961502638">
      <w:bodyDiv w:val="1"/>
      <w:marLeft w:val="0"/>
      <w:marRight w:val="0"/>
      <w:marTop w:val="0"/>
      <w:marBottom w:val="0"/>
      <w:divBdr>
        <w:top w:val="none" w:sz="0" w:space="0" w:color="auto"/>
        <w:left w:val="none" w:sz="0" w:space="0" w:color="auto"/>
        <w:bottom w:val="none" w:sz="0" w:space="0" w:color="auto"/>
        <w:right w:val="none" w:sz="0" w:space="0" w:color="auto"/>
      </w:divBdr>
    </w:div>
    <w:div w:id="1091120972">
      <w:bodyDiv w:val="1"/>
      <w:marLeft w:val="0"/>
      <w:marRight w:val="0"/>
      <w:marTop w:val="0"/>
      <w:marBottom w:val="0"/>
      <w:divBdr>
        <w:top w:val="none" w:sz="0" w:space="0" w:color="auto"/>
        <w:left w:val="none" w:sz="0" w:space="0" w:color="auto"/>
        <w:bottom w:val="none" w:sz="0" w:space="0" w:color="auto"/>
        <w:right w:val="none" w:sz="0" w:space="0" w:color="auto"/>
      </w:divBdr>
    </w:div>
    <w:div w:id="1137525849">
      <w:bodyDiv w:val="1"/>
      <w:marLeft w:val="0"/>
      <w:marRight w:val="0"/>
      <w:marTop w:val="0"/>
      <w:marBottom w:val="0"/>
      <w:divBdr>
        <w:top w:val="none" w:sz="0" w:space="0" w:color="auto"/>
        <w:left w:val="none" w:sz="0" w:space="0" w:color="auto"/>
        <w:bottom w:val="none" w:sz="0" w:space="0" w:color="auto"/>
        <w:right w:val="none" w:sz="0" w:space="0" w:color="auto"/>
      </w:divBdr>
      <w:divsChild>
        <w:div w:id="786201315">
          <w:marLeft w:val="360"/>
          <w:marRight w:val="0"/>
          <w:marTop w:val="200"/>
          <w:marBottom w:val="0"/>
          <w:divBdr>
            <w:top w:val="none" w:sz="0" w:space="0" w:color="auto"/>
            <w:left w:val="none" w:sz="0" w:space="0" w:color="auto"/>
            <w:bottom w:val="none" w:sz="0" w:space="0" w:color="auto"/>
            <w:right w:val="none" w:sz="0" w:space="0" w:color="auto"/>
          </w:divBdr>
        </w:div>
        <w:div w:id="2036803759">
          <w:marLeft w:val="360"/>
          <w:marRight w:val="0"/>
          <w:marTop w:val="120"/>
          <w:marBottom w:val="0"/>
          <w:divBdr>
            <w:top w:val="none" w:sz="0" w:space="0" w:color="auto"/>
            <w:left w:val="none" w:sz="0" w:space="0" w:color="auto"/>
            <w:bottom w:val="none" w:sz="0" w:space="0" w:color="auto"/>
            <w:right w:val="none" w:sz="0" w:space="0" w:color="auto"/>
          </w:divBdr>
        </w:div>
      </w:divsChild>
    </w:div>
    <w:div w:id="1182083698">
      <w:bodyDiv w:val="1"/>
      <w:marLeft w:val="0"/>
      <w:marRight w:val="0"/>
      <w:marTop w:val="0"/>
      <w:marBottom w:val="0"/>
      <w:divBdr>
        <w:top w:val="none" w:sz="0" w:space="0" w:color="auto"/>
        <w:left w:val="none" w:sz="0" w:space="0" w:color="auto"/>
        <w:bottom w:val="none" w:sz="0" w:space="0" w:color="auto"/>
        <w:right w:val="none" w:sz="0" w:space="0" w:color="auto"/>
      </w:divBdr>
    </w:div>
    <w:div w:id="1325937838">
      <w:bodyDiv w:val="1"/>
      <w:marLeft w:val="0"/>
      <w:marRight w:val="0"/>
      <w:marTop w:val="0"/>
      <w:marBottom w:val="0"/>
      <w:divBdr>
        <w:top w:val="none" w:sz="0" w:space="0" w:color="auto"/>
        <w:left w:val="none" w:sz="0" w:space="0" w:color="auto"/>
        <w:bottom w:val="none" w:sz="0" w:space="0" w:color="auto"/>
        <w:right w:val="none" w:sz="0" w:space="0" w:color="auto"/>
      </w:divBdr>
      <w:divsChild>
        <w:div w:id="229582003">
          <w:marLeft w:val="360"/>
          <w:marRight w:val="0"/>
          <w:marTop w:val="200"/>
          <w:marBottom w:val="0"/>
          <w:divBdr>
            <w:top w:val="none" w:sz="0" w:space="0" w:color="auto"/>
            <w:left w:val="none" w:sz="0" w:space="0" w:color="auto"/>
            <w:bottom w:val="none" w:sz="0" w:space="0" w:color="auto"/>
            <w:right w:val="none" w:sz="0" w:space="0" w:color="auto"/>
          </w:divBdr>
        </w:div>
        <w:div w:id="511379941">
          <w:marLeft w:val="1080"/>
          <w:marRight w:val="0"/>
          <w:marTop w:val="100"/>
          <w:marBottom w:val="0"/>
          <w:divBdr>
            <w:top w:val="none" w:sz="0" w:space="0" w:color="auto"/>
            <w:left w:val="none" w:sz="0" w:space="0" w:color="auto"/>
            <w:bottom w:val="none" w:sz="0" w:space="0" w:color="auto"/>
            <w:right w:val="none" w:sz="0" w:space="0" w:color="auto"/>
          </w:divBdr>
        </w:div>
        <w:div w:id="1785802064">
          <w:marLeft w:val="1080"/>
          <w:marRight w:val="0"/>
          <w:marTop w:val="100"/>
          <w:marBottom w:val="0"/>
          <w:divBdr>
            <w:top w:val="none" w:sz="0" w:space="0" w:color="auto"/>
            <w:left w:val="none" w:sz="0" w:space="0" w:color="auto"/>
            <w:bottom w:val="none" w:sz="0" w:space="0" w:color="auto"/>
            <w:right w:val="none" w:sz="0" w:space="0" w:color="auto"/>
          </w:divBdr>
        </w:div>
        <w:div w:id="1409838371">
          <w:marLeft w:val="1080"/>
          <w:marRight w:val="0"/>
          <w:marTop w:val="100"/>
          <w:marBottom w:val="0"/>
          <w:divBdr>
            <w:top w:val="none" w:sz="0" w:space="0" w:color="auto"/>
            <w:left w:val="none" w:sz="0" w:space="0" w:color="auto"/>
            <w:bottom w:val="none" w:sz="0" w:space="0" w:color="auto"/>
            <w:right w:val="none" w:sz="0" w:space="0" w:color="auto"/>
          </w:divBdr>
        </w:div>
        <w:div w:id="1362323523">
          <w:marLeft w:val="1080"/>
          <w:marRight w:val="0"/>
          <w:marTop w:val="100"/>
          <w:marBottom w:val="0"/>
          <w:divBdr>
            <w:top w:val="none" w:sz="0" w:space="0" w:color="auto"/>
            <w:left w:val="none" w:sz="0" w:space="0" w:color="auto"/>
            <w:bottom w:val="none" w:sz="0" w:space="0" w:color="auto"/>
            <w:right w:val="none" w:sz="0" w:space="0" w:color="auto"/>
          </w:divBdr>
        </w:div>
        <w:div w:id="1955210688">
          <w:marLeft w:val="1080"/>
          <w:marRight w:val="0"/>
          <w:marTop w:val="100"/>
          <w:marBottom w:val="0"/>
          <w:divBdr>
            <w:top w:val="none" w:sz="0" w:space="0" w:color="auto"/>
            <w:left w:val="none" w:sz="0" w:space="0" w:color="auto"/>
            <w:bottom w:val="none" w:sz="0" w:space="0" w:color="auto"/>
            <w:right w:val="none" w:sz="0" w:space="0" w:color="auto"/>
          </w:divBdr>
        </w:div>
        <w:div w:id="2143577306">
          <w:marLeft w:val="360"/>
          <w:marRight w:val="0"/>
          <w:marTop w:val="200"/>
          <w:marBottom w:val="0"/>
          <w:divBdr>
            <w:top w:val="none" w:sz="0" w:space="0" w:color="auto"/>
            <w:left w:val="none" w:sz="0" w:space="0" w:color="auto"/>
            <w:bottom w:val="none" w:sz="0" w:space="0" w:color="auto"/>
            <w:right w:val="none" w:sz="0" w:space="0" w:color="auto"/>
          </w:divBdr>
        </w:div>
        <w:div w:id="233589875">
          <w:marLeft w:val="1080"/>
          <w:marRight w:val="0"/>
          <w:marTop w:val="100"/>
          <w:marBottom w:val="0"/>
          <w:divBdr>
            <w:top w:val="none" w:sz="0" w:space="0" w:color="auto"/>
            <w:left w:val="none" w:sz="0" w:space="0" w:color="auto"/>
            <w:bottom w:val="none" w:sz="0" w:space="0" w:color="auto"/>
            <w:right w:val="none" w:sz="0" w:space="0" w:color="auto"/>
          </w:divBdr>
        </w:div>
        <w:div w:id="621425727">
          <w:marLeft w:val="1080"/>
          <w:marRight w:val="0"/>
          <w:marTop w:val="100"/>
          <w:marBottom w:val="0"/>
          <w:divBdr>
            <w:top w:val="none" w:sz="0" w:space="0" w:color="auto"/>
            <w:left w:val="none" w:sz="0" w:space="0" w:color="auto"/>
            <w:bottom w:val="none" w:sz="0" w:space="0" w:color="auto"/>
            <w:right w:val="none" w:sz="0" w:space="0" w:color="auto"/>
          </w:divBdr>
        </w:div>
        <w:div w:id="1581987418">
          <w:marLeft w:val="1080"/>
          <w:marRight w:val="0"/>
          <w:marTop w:val="100"/>
          <w:marBottom w:val="0"/>
          <w:divBdr>
            <w:top w:val="none" w:sz="0" w:space="0" w:color="auto"/>
            <w:left w:val="none" w:sz="0" w:space="0" w:color="auto"/>
            <w:bottom w:val="none" w:sz="0" w:space="0" w:color="auto"/>
            <w:right w:val="none" w:sz="0" w:space="0" w:color="auto"/>
          </w:divBdr>
        </w:div>
        <w:div w:id="1058628826">
          <w:marLeft w:val="360"/>
          <w:marRight w:val="0"/>
          <w:marTop w:val="200"/>
          <w:marBottom w:val="0"/>
          <w:divBdr>
            <w:top w:val="none" w:sz="0" w:space="0" w:color="auto"/>
            <w:left w:val="none" w:sz="0" w:space="0" w:color="auto"/>
            <w:bottom w:val="none" w:sz="0" w:space="0" w:color="auto"/>
            <w:right w:val="none" w:sz="0" w:space="0" w:color="auto"/>
          </w:divBdr>
        </w:div>
        <w:div w:id="1537817218">
          <w:marLeft w:val="1080"/>
          <w:marRight w:val="0"/>
          <w:marTop w:val="100"/>
          <w:marBottom w:val="0"/>
          <w:divBdr>
            <w:top w:val="none" w:sz="0" w:space="0" w:color="auto"/>
            <w:left w:val="none" w:sz="0" w:space="0" w:color="auto"/>
            <w:bottom w:val="none" w:sz="0" w:space="0" w:color="auto"/>
            <w:right w:val="none" w:sz="0" w:space="0" w:color="auto"/>
          </w:divBdr>
        </w:div>
        <w:div w:id="1342662906">
          <w:marLeft w:val="1080"/>
          <w:marRight w:val="0"/>
          <w:marTop w:val="100"/>
          <w:marBottom w:val="0"/>
          <w:divBdr>
            <w:top w:val="none" w:sz="0" w:space="0" w:color="auto"/>
            <w:left w:val="none" w:sz="0" w:space="0" w:color="auto"/>
            <w:bottom w:val="none" w:sz="0" w:space="0" w:color="auto"/>
            <w:right w:val="none" w:sz="0" w:space="0" w:color="auto"/>
          </w:divBdr>
        </w:div>
        <w:div w:id="2043822070">
          <w:marLeft w:val="1080"/>
          <w:marRight w:val="0"/>
          <w:marTop w:val="100"/>
          <w:marBottom w:val="0"/>
          <w:divBdr>
            <w:top w:val="none" w:sz="0" w:space="0" w:color="auto"/>
            <w:left w:val="none" w:sz="0" w:space="0" w:color="auto"/>
            <w:bottom w:val="none" w:sz="0" w:space="0" w:color="auto"/>
            <w:right w:val="none" w:sz="0" w:space="0" w:color="auto"/>
          </w:divBdr>
        </w:div>
      </w:divsChild>
    </w:div>
    <w:div w:id="1392118691">
      <w:bodyDiv w:val="1"/>
      <w:marLeft w:val="0"/>
      <w:marRight w:val="0"/>
      <w:marTop w:val="0"/>
      <w:marBottom w:val="0"/>
      <w:divBdr>
        <w:top w:val="none" w:sz="0" w:space="0" w:color="auto"/>
        <w:left w:val="none" w:sz="0" w:space="0" w:color="auto"/>
        <w:bottom w:val="none" w:sz="0" w:space="0" w:color="auto"/>
        <w:right w:val="none" w:sz="0" w:space="0" w:color="auto"/>
      </w:divBdr>
    </w:div>
    <w:div w:id="1662737350">
      <w:bodyDiv w:val="1"/>
      <w:marLeft w:val="0"/>
      <w:marRight w:val="0"/>
      <w:marTop w:val="0"/>
      <w:marBottom w:val="0"/>
      <w:divBdr>
        <w:top w:val="none" w:sz="0" w:space="0" w:color="auto"/>
        <w:left w:val="none" w:sz="0" w:space="0" w:color="auto"/>
        <w:bottom w:val="none" w:sz="0" w:space="0" w:color="auto"/>
        <w:right w:val="none" w:sz="0" w:space="0" w:color="auto"/>
      </w:divBdr>
    </w:div>
    <w:div w:id="1678997844">
      <w:bodyDiv w:val="1"/>
      <w:marLeft w:val="0"/>
      <w:marRight w:val="0"/>
      <w:marTop w:val="0"/>
      <w:marBottom w:val="0"/>
      <w:divBdr>
        <w:top w:val="none" w:sz="0" w:space="0" w:color="auto"/>
        <w:left w:val="none" w:sz="0" w:space="0" w:color="auto"/>
        <w:bottom w:val="none" w:sz="0" w:space="0" w:color="auto"/>
        <w:right w:val="none" w:sz="0" w:space="0" w:color="auto"/>
      </w:divBdr>
    </w:div>
    <w:div w:id="1818452975">
      <w:bodyDiv w:val="1"/>
      <w:marLeft w:val="0"/>
      <w:marRight w:val="0"/>
      <w:marTop w:val="0"/>
      <w:marBottom w:val="0"/>
      <w:divBdr>
        <w:top w:val="none" w:sz="0" w:space="0" w:color="auto"/>
        <w:left w:val="none" w:sz="0" w:space="0" w:color="auto"/>
        <w:bottom w:val="none" w:sz="0" w:space="0" w:color="auto"/>
        <w:right w:val="none" w:sz="0" w:space="0" w:color="auto"/>
      </w:divBdr>
    </w:div>
    <w:div w:id="1995061258">
      <w:bodyDiv w:val="1"/>
      <w:marLeft w:val="0"/>
      <w:marRight w:val="0"/>
      <w:marTop w:val="0"/>
      <w:marBottom w:val="0"/>
      <w:divBdr>
        <w:top w:val="none" w:sz="0" w:space="0" w:color="auto"/>
        <w:left w:val="none" w:sz="0" w:space="0" w:color="auto"/>
        <w:bottom w:val="none" w:sz="0" w:space="0" w:color="auto"/>
        <w:right w:val="none" w:sz="0" w:space="0" w:color="auto"/>
      </w:divBdr>
    </w:div>
    <w:div w:id="2027362705">
      <w:bodyDiv w:val="1"/>
      <w:marLeft w:val="0"/>
      <w:marRight w:val="0"/>
      <w:marTop w:val="0"/>
      <w:marBottom w:val="0"/>
      <w:divBdr>
        <w:top w:val="none" w:sz="0" w:space="0" w:color="auto"/>
        <w:left w:val="none" w:sz="0" w:space="0" w:color="auto"/>
        <w:bottom w:val="none" w:sz="0" w:space="0" w:color="auto"/>
        <w:right w:val="none" w:sz="0" w:space="0" w:color="auto"/>
      </w:divBdr>
    </w:div>
    <w:div w:id="2090341948">
      <w:bodyDiv w:val="1"/>
      <w:marLeft w:val="0"/>
      <w:marRight w:val="0"/>
      <w:marTop w:val="0"/>
      <w:marBottom w:val="0"/>
      <w:divBdr>
        <w:top w:val="none" w:sz="0" w:space="0" w:color="auto"/>
        <w:left w:val="none" w:sz="0" w:space="0" w:color="auto"/>
        <w:bottom w:val="none" w:sz="0" w:space="0" w:color="auto"/>
        <w:right w:val="none" w:sz="0" w:space="0" w:color="auto"/>
      </w:divBdr>
      <w:divsChild>
        <w:div w:id="561869015">
          <w:marLeft w:val="360"/>
          <w:marRight w:val="0"/>
          <w:marTop w:val="200"/>
          <w:marBottom w:val="0"/>
          <w:divBdr>
            <w:top w:val="none" w:sz="0" w:space="0" w:color="auto"/>
            <w:left w:val="none" w:sz="0" w:space="0" w:color="auto"/>
            <w:bottom w:val="none" w:sz="0" w:space="0" w:color="auto"/>
            <w:right w:val="none" w:sz="0" w:space="0" w:color="auto"/>
          </w:divBdr>
        </w:div>
        <w:div w:id="2085029402">
          <w:marLeft w:val="1080"/>
          <w:marRight w:val="0"/>
          <w:marTop w:val="100"/>
          <w:marBottom w:val="0"/>
          <w:divBdr>
            <w:top w:val="none" w:sz="0" w:space="0" w:color="auto"/>
            <w:left w:val="none" w:sz="0" w:space="0" w:color="auto"/>
            <w:bottom w:val="none" w:sz="0" w:space="0" w:color="auto"/>
            <w:right w:val="none" w:sz="0" w:space="0" w:color="auto"/>
          </w:divBdr>
        </w:div>
        <w:div w:id="1217283450">
          <w:marLeft w:val="1080"/>
          <w:marRight w:val="0"/>
          <w:marTop w:val="100"/>
          <w:marBottom w:val="0"/>
          <w:divBdr>
            <w:top w:val="none" w:sz="0" w:space="0" w:color="auto"/>
            <w:left w:val="none" w:sz="0" w:space="0" w:color="auto"/>
            <w:bottom w:val="none" w:sz="0" w:space="0" w:color="auto"/>
            <w:right w:val="none" w:sz="0" w:space="0" w:color="auto"/>
          </w:divBdr>
        </w:div>
        <w:div w:id="1570536231">
          <w:marLeft w:val="1080"/>
          <w:marRight w:val="0"/>
          <w:marTop w:val="100"/>
          <w:marBottom w:val="0"/>
          <w:divBdr>
            <w:top w:val="none" w:sz="0" w:space="0" w:color="auto"/>
            <w:left w:val="none" w:sz="0" w:space="0" w:color="auto"/>
            <w:bottom w:val="none" w:sz="0" w:space="0" w:color="auto"/>
            <w:right w:val="none" w:sz="0" w:space="0" w:color="auto"/>
          </w:divBdr>
        </w:div>
        <w:div w:id="1517768935">
          <w:marLeft w:val="1080"/>
          <w:marRight w:val="0"/>
          <w:marTop w:val="100"/>
          <w:marBottom w:val="0"/>
          <w:divBdr>
            <w:top w:val="none" w:sz="0" w:space="0" w:color="auto"/>
            <w:left w:val="none" w:sz="0" w:space="0" w:color="auto"/>
            <w:bottom w:val="none" w:sz="0" w:space="0" w:color="auto"/>
            <w:right w:val="none" w:sz="0" w:space="0" w:color="auto"/>
          </w:divBdr>
        </w:div>
        <w:div w:id="1413048178">
          <w:marLeft w:val="360"/>
          <w:marRight w:val="0"/>
          <w:marTop w:val="200"/>
          <w:marBottom w:val="0"/>
          <w:divBdr>
            <w:top w:val="none" w:sz="0" w:space="0" w:color="auto"/>
            <w:left w:val="none" w:sz="0" w:space="0" w:color="auto"/>
            <w:bottom w:val="none" w:sz="0" w:space="0" w:color="auto"/>
            <w:right w:val="none" w:sz="0" w:space="0" w:color="auto"/>
          </w:divBdr>
        </w:div>
        <w:div w:id="377361968">
          <w:marLeft w:val="1080"/>
          <w:marRight w:val="0"/>
          <w:marTop w:val="100"/>
          <w:marBottom w:val="0"/>
          <w:divBdr>
            <w:top w:val="none" w:sz="0" w:space="0" w:color="auto"/>
            <w:left w:val="none" w:sz="0" w:space="0" w:color="auto"/>
            <w:bottom w:val="none" w:sz="0" w:space="0" w:color="auto"/>
            <w:right w:val="none" w:sz="0" w:space="0" w:color="auto"/>
          </w:divBdr>
        </w:div>
        <w:div w:id="759445269">
          <w:marLeft w:val="1080"/>
          <w:marRight w:val="0"/>
          <w:marTop w:val="100"/>
          <w:marBottom w:val="0"/>
          <w:divBdr>
            <w:top w:val="none" w:sz="0" w:space="0" w:color="auto"/>
            <w:left w:val="none" w:sz="0" w:space="0" w:color="auto"/>
            <w:bottom w:val="none" w:sz="0" w:space="0" w:color="auto"/>
            <w:right w:val="none" w:sz="0" w:space="0" w:color="auto"/>
          </w:divBdr>
        </w:div>
        <w:div w:id="1278759448">
          <w:marLeft w:val="1080"/>
          <w:marRight w:val="0"/>
          <w:marTop w:val="100"/>
          <w:marBottom w:val="0"/>
          <w:divBdr>
            <w:top w:val="none" w:sz="0" w:space="0" w:color="auto"/>
            <w:left w:val="none" w:sz="0" w:space="0" w:color="auto"/>
            <w:bottom w:val="none" w:sz="0" w:space="0" w:color="auto"/>
            <w:right w:val="none" w:sz="0" w:space="0" w:color="auto"/>
          </w:divBdr>
        </w:div>
        <w:div w:id="888108713">
          <w:marLeft w:val="1080"/>
          <w:marRight w:val="0"/>
          <w:marTop w:val="100"/>
          <w:marBottom w:val="0"/>
          <w:divBdr>
            <w:top w:val="none" w:sz="0" w:space="0" w:color="auto"/>
            <w:left w:val="none" w:sz="0" w:space="0" w:color="auto"/>
            <w:bottom w:val="none" w:sz="0" w:space="0" w:color="auto"/>
            <w:right w:val="none" w:sz="0" w:space="0" w:color="auto"/>
          </w:divBdr>
        </w:div>
        <w:div w:id="1410032827">
          <w:marLeft w:val="1080"/>
          <w:marRight w:val="0"/>
          <w:marTop w:val="100"/>
          <w:marBottom w:val="0"/>
          <w:divBdr>
            <w:top w:val="none" w:sz="0" w:space="0" w:color="auto"/>
            <w:left w:val="none" w:sz="0" w:space="0" w:color="auto"/>
            <w:bottom w:val="none" w:sz="0" w:space="0" w:color="auto"/>
            <w:right w:val="none" w:sz="0" w:space="0" w:color="auto"/>
          </w:divBdr>
        </w:div>
        <w:div w:id="56953772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D6F9A-560A-4452-91F4-59FC0A71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14</Pages>
  <Words>30555</Words>
  <Characters>174168</Characters>
  <Application>Microsoft Office Word</Application>
  <DocSecurity>0</DocSecurity>
  <Lines>1451</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 Ilham</dc:creator>
  <cp:keywords/>
  <dc:description/>
  <cp:lastModifiedBy>Romi Ilham</cp:lastModifiedBy>
  <cp:revision>70</cp:revision>
  <dcterms:created xsi:type="dcterms:W3CDTF">2024-03-27T14:44:00Z</dcterms:created>
  <dcterms:modified xsi:type="dcterms:W3CDTF">2024-05-15T03:28:00Z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http://www.zotero.org/styles/decision-support-systems</vt:lpwstr>
  </property>
  <property fmtid="{D5CDD505-2E9C-101B-9397-08002B2CF9AE}" pid="9" name="Mendeley Recent Style Name 3_1">
    <vt:lpwstr>Decision Support Systems</vt:lpwstr>
  </property>
  <property fmtid="{D5CDD505-2E9C-101B-9397-08002B2CF9AE}" pid="10" name="Mendeley Recent Style Id 4_1">
    <vt:lpwstr>http://www.zotero.org/styles/elsevier-with-titles</vt:lpwstr>
  </property>
  <property fmtid="{D5CDD505-2E9C-101B-9397-08002B2CF9AE}" pid="11" name="Mendeley Recent Style Name 4_1">
    <vt:lpwstr>Elsevier (numeric, with titles)</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http://csl.mendeley.com/styles/496968681/vancouver-Komunikacie</vt:lpwstr>
  </property>
  <property fmtid="{D5CDD505-2E9C-101B-9397-08002B2CF9AE}" pid="17" name="Mendeley Recent Style Name 7_1">
    <vt:lpwstr>Vancouver - Komunikacie</vt:lpwstr>
  </property>
  <property fmtid="{D5CDD505-2E9C-101B-9397-08002B2CF9AE}" pid="18" name="Mendeley Recent Style Id 8_1">
    <vt:lpwstr>http://csl.mendeley.com/styles/733210351/VancouverJATIT</vt:lpwstr>
  </property>
  <property fmtid="{D5CDD505-2E9C-101B-9397-08002B2CF9AE}" pid="19" name="Mendeley Recent Style Name 8_1">
    <vt:lpwstr>Vancouver - Romi Ilham</vt:lpwstr>
  </property>
  <property fmtid="{D5CDD505-2E9C-101B-9397-08002B2CF9AE}" pid="20" name="Mendeley Recent Style Id 9_1">
    <vt:lpwstr>http://csl.mendeley.com/styles/496968681/vancouver-transport</vt:lpwstr>
  </property>
  <property fmtid="{D5CDD505-2E9C-101B-9397-08002B2CF9AE}" pid="21" name="Mendeley Recent Style Name 9_1">
    <vt:lpwstr>Vancouver - romi ilham, S.Kom, M.M</vt:lpwstr>
  </property>
  <property fmtid="{D5CDD505-2E9C-101B-9397-08002B2CF9AE}" pid="22" name="Mendeley Document_1">
    <vt:lpwstr>True</vt:lpwstr>
  </property>
  <property fmtid="{D5CDD505-2E9C-101B-9397-08002B2CF9AE}" pid="23" name="Mendeley Unique User Id_1">
    <vt:lpwstr>87ec4d26-6fad-3f40-b3ca-bfe18874c9df</vt:lpwstr>
  </property>
  <property fmtid="{D5CDD505-2E9C-101B-9397-08002B2CF9AE}" pid="24" name="Mendeley Citation Style_1">
    <vt:lpwstr>http://www.zotero.org/styles/apa</vt:lpwstr>
  </property>
</Properties>
</file>